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flexibilización de la contratación y movilidad del profesorado,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sea respondida en el Pleno de la Cámara por el Consejero de Educación del Gobierno de Navarra. </w:t>
      </w:r>
    </w:p>
    <w:p>
      <w:pPr>
        <w:pStyle w:val="0"/>
        <w:suppressAutoHyphens w:val="false"/>
        <w:rPr>
          <w:rStyle w:val="1"/>
        </w:rPr>
      </w:pPr>
      <w:r>
        <w:rPr>
          <w:rStyle w:val="1"/>
        </w:rPr>
        <w:t xml:space="preserve">Mientras desde el Gobierno central promueven medidas para facilitar la contratación y movilidad del profesorado en un momento crítico en el que se va a necesitar un cuerpo de docentes lo más amoldable posible a la realidad de la escuela hoy, ¿de qué manera cree que está incidiendo en esa flexibilización la Ley Foral 17/2017, de 27 de diciembre, reguladora del acceso a la función pública docente? </w:t>
      </w:r>
    </w:p>
    <w:p>
      <w:pPr>
        <w:pStyle w:val="0"/>
        <w:suppressAutoHyphens w:val="false"/>
        <w:rPr>
          <w:rStyle w:val="1"/>
        </w:rPr>
      </w:pPr>
      <w:r>
        <w:rPr>
          <w:rStyle w:val="1"/>
        </w:rPr>
        <w:t xml:space="preserve">Pamplona-lruña a 1 de octubre de 2020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