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4F" w:rsidRPr="00CB4C4F" w:rsidRDefault="00CB4C4F" w:rsidP="00CB4C4F">
      <w:pPr>
        <w:rPr>
          <w:rFonts w:ascii="Arial" w:hAnsi="Arial" w:cs="Arial"/>
          <w:sz w:val="22"/>
          <w:szCs w:val="22"/>
          <w:lang w:val="es-ES_tradnl"/>
        </w:rPr>
      </w:pPr>
      <w:r w:rsidRPr="00CB4C4F">
        <w:rPr>
          <w:rFonts w:ascii="Arial" w:hAnsi="Arial" w:cs="Arial"/>
          <w:sz w:val="22"/>
          <w:szCs w:val="22"/>
          <w:lang w:val="es-ES_tradnl"/>
        </w:rPr>
        <w:t>9 de septiembre</w:t>
      </w:r>
    </w:p>
    <w:p w:rsidR="00CB4C4F" w:rsidRPr="00CB4C4F" w:rsidRDefault="00AC00D4" w:rsidP="00D6726D">
      <w:pPr>
        <w:spacing w:line="360" w:lineRule="auto"/>
        <w:ind w:left="426"/>
        <w:jc w:val="both"/>
        <w:rPr>
          <w:rFonts w:ascii="Arial" w:hAnsi="Arial" w:cs="Arial"/>
          <w:sz w:val="22"/>
          <w:szCs w:val="22"/>
        </w:rPr>
      </w:pPr>
      <w:r w:rsidRPr="00CB4C4F">
        <w:rPr>
          <w:rFonts w:ascii="Arial" w:hAnsi="Arial" w:cs="Arial"/>
          <w:sz w:val="22"/>
          <w:szCs w:val="22"/>
        </w:rPr>
        <w:t>El</w:t>
      </w:r>
      <w:r w:rsidR="00453A73" w:rsidRPr="00CB4C4F">
        <w:rPr>
          <w:rFonts w:ascii="Arial" w:hAnsi="Arial" w:cs="Arial"/>
          <w:sz w:val="22"/>
          <w:szCs w:val="22"/>
        </w:rPr>
        <w:t xml:space="preserve"> Consejer</w:t>
      </w:r>
      <w:r w:rsidRPr="00CB4C4F">
        <w:rPr>
          <w:rFonts w:ascii="Arial" w:hAnsi="Arial" w:cs="Arial"/>
          <w:sz w:val="22"/>
          <w:szCs w:val="22"/>
        </w:rPr>
        <w:t>o</w:t>
      </w:r>
      <w:r w:rsidR="00453A73" w:rsidRPr="00CB4C4F">
        <w:rPr>
          <w:rFonts w:ascii="Arial" w:hAnsi="Arial" w:cs="Arial"/>
          <w:sz w:val="22"/>
          <w:szCs w:val="22"/>
        </w:rPr>
        <w:t xml:space="preserve"> de </w:t>
      </w:r>
      <w:r w:rsidRPr="00CB4C4F">
        <w:rPr>
          <w:rFonts w:ascii="Arial" w:hAnsi="Arial" w:cs="Arial"/>
          <w:sz w:val="22"/>
          <w:szCs w:val="22"/>
        </w:rPr>
        <w:t>Cohesión Territorial</w:t>
      </w:r>
      <w:r w:rsidR="00453A73" w:rsidRPr="00CB4C4F">
        <w:rPr>
          <w:rFonts w:ascii="Arial" w:hAnsi="Arial" w:cs="Arial"/>
          <w:sz w:val="22"/>
          <w:szCs w:val="22"/>
        </w:rPr>
        <w:t xml:space="preserve"> del Gobierno de Navarra, en relación con la pregunta para su contestación por escrito </w:t>
      </w:r>
      <w:r w:rsidRPr="00CB4C4F">
        <w:rPr>
          <w:rFonts w:ascii="Arial" w:hAnsi="Arial" w:cs="Arial"/>
          <w:sz w:val="22"/>
          <w:szCs w:val="22"/>
        </w:rPr>
        <w:t>10-19/PES-001</w:t>
      </w:r>
      <w:r w:rsidR="00F75878" w:rsidRPr="00CB4C4F">
        <w:rPr>
          <w:rFonts w:ascii="Arial" w:hAnsi="Arial" w:cs="Arial"/>
          <w:sz w:val="22"/>
          <w:szCs w:val="22"/>
        </w:rPr>
        <w:t>5</w:t>
      </w:r>
      <w:r w:rsidR="00710A53" w:rsidRPr="00CB4C4F">
        <w:rPr>
          <w:rFonts w:ascii="Arial" w:hAnsi="Arial" w:cs="Arial"/>
          <w:sz w:val="22"/>
          <w:szCs w:val="22"/>
        </w:rPr>
        <w:t>6</w:t>
      </w:r>
      <w:r w:rsidRPr="00CB4C4F">
        <w:rPr>
          <w:rFonts w:ascii="Arial" w:hAnsi="Arial" w:cs="Arial"/>
          <w:sz w:val="22"/>
          <w:szCs w:val="22"/>
        </w:rPr>
        <w:t xml:space="preserve"> </w:t>
      </w:r>
      <w:r w:rsidR="00453A73" w:rsidRPr="00CB4C4F">
        <w:rPr>
          <w:rFonts w:ascii="Arial" w:hAnsi="Arial" w:cs="Arial"/>
          <w:sz w:val="22"/>
          <w:szCs w:val="22"/>
        </w:rPr>
        <w:t xml:space="preserve">formulada por </w:t>
      </w:r>
      <w:r w:rsidRPr="00CB4C4F">
        <w:rPr>
          <w:rFonts w:ascii="Arial" w:hAnsi="Arial" w:cs="Arial"/>
          <w:sz w:val="22"/>
          <w:szCs w:val="22"/>
        </w:rPr>
        <w:t>la</w:t>
      </w:r>
      <w:r w:rsidR="00453A73" w:rsidRPr="00CB4C4F">
        <w:rPr>
          <w:rFonts w:ascii="Arial" w:hAnsi="Arial" w:cs="Arial"/>
          <w:sz w:val="22"/>
          <w:szCs w:val="22"/>
        </w:rPr>
        <w:t xml:space="preserve"> Parlamentari</w:t>
      </w:r>
      <w:r w:rsidR="002C5CF9" w:rsidRPr="00CB4C4F">
        <w:rPr>
          <w:rFonts w:ascii="Arial" w:hAnsi="Arial" w:cs="Arial"/>
          <w:sz w:val="22"/>
          <w:szCs w:val="22"/>
        </w:rPr>
        <w:t>a</w:t>
      </w:r>
      <w:r w:rsidR="00453A73" w:rsidRPr="00CB4C4F">
        <w:rPr>
          <w:rFonts w:ascii="Arial" w:hAnsi="Arial" w:cs="Arial"/>
          <w:sz w:val="22"/>
          <w:szCs w:val="22"/>
        </w:rPr>
        <w:t xml:space="preserve"> Foral Ilm</w:t>
      </w:r>
      <w:r w:rsidRPr="00CB4C4F">
        <w:rPr>
          <w:rFonts w:ascii="Arial" w:hAnsi="Arial" w:cs="Arial"/>
          <w:sz w:val="22"/>
          <w:szCs w:val="22"/>
        </w:rPr>
        <w:t>a</w:t>
      </w:r>
      <w:r w:rsidR="00453A73" w:rsidRPr="00CB4C4F">
        <w:rPr>
          <w:rFonts w:ascii="Arial" w:hAnsi="Arial" w:cs="Arial"/>
          <w:sz w:val="22"/>
          <w:szCs w:val="22"/>
        </w:rPr>
        <w:t>. Sr</w:t>
      </w:r>
      <w:r w:rsidRPr="00CB4C4F">
        <w:rPr>
          <w:rFonts w:ascii="Arial" w:hAnsi="Arial" w:cs="Arial"/>
          <w:sz w:val="22"/>
          <w:szCs w:val="22"/>
        </w:rPr>
        <w:t>a</w:t>
      </w:r>
      <w:r w:rsidR="00453A73" w:rsidRPr="00CB4C4F">
        <w:rPr>
          <w:rFonts w:ascii="Arial" w:hAnsi="Arial" w:cs="Arial"/>
          <w:sz w:val="22"/>
          <w:szCs w:val="22"/>
        </w:rPr>
        <w:t>. D</w:t>
      </w:r>
      <w:r w:rsidR="00CB4C4F">
        <w:rPr>
          <w:rFonts w:ascii="Arial" w:hAnsi="Arial" w:cs="Arial"/>
          <w:sz w:val="22"/>
          <w:szCs w:val="22"/>
        </w:rPr>
        <w:t>.</w:t>
      </w:r>
      <w:r w:rsidRPr="00CB4C4F">
        <w:rPr>
          <w:rFonts w:ascii="Arial" w:hAnsi="Arial" w:cs="Arial"/>
          <w:sz w:val="22"/>
          <w:szCs w:val="22"/>
        </w:rPr>
        <w:t>ª</w:t>
      </w:r>
      <w:r w:rsidR="00453A73" w:rsidRPr="00CB4C4F">
        <w:rPr>
          <w:rFonts w:ascii="Arial" w:hAnsi="Arial" w:cs="Arial"/>
          <w:sz w:val="22"/>
          <w:szCs w:val="22"/>
        </w:rPr>
        <w:t xml:space="preserve"> </w:t>
      </w:r>
      <w:r w:rsidR="00417186" w:rsidRPr="00CB4C4F">
        <w:rPr>
          <w:rFonts w:ascii="Arial" w:hAnsi="Arial" w:cs="Arial"/>
          <w:sz w:val="22"/>
          <w:szCs w:val="22"/>
        </w:rPr>
        <w:t xml:space="preserve">Yolanda Ibáñez Pérez, </w:t>
      </w:r>
      <w:r w:rsidR="00453A73" w:rsidRPr="00CB4C4F">
        <w:rPr>
          <w:rFonts w:ascii="Arial" w:hAnsi="Arial" w:cs="Arial"/>
          <w:sz w:val="22"/>
          <w:szCs w:val="22"/>
        </w:rPr>
        <w:t>adscrit</w:t>
      </w:r>
      <w:r w:rsidR="00417186" w:rsidRPr="00CB4C4F">
        <w:rPr>
          <w:rFonts w:ascii="Arial" w:hAnsi="Arial" w:cs="Arial"/>
          <w:sz w:val="22"/>
          <w:szCs w:val="22"/>
        </w:rPr>
        <w:t>a</w:t>
      </w:r>
      <w:r w:rsidR="00453A73" w:rsidRPr="00CB4C4F">
        <w:rPr>
          <w:rFonts w:ascii="Arial" w:hAnsi="Arial" w:cs="Arial"/>
          <w:sz w:val="22"/>
          <w:szCs w:val="22"/>
        </w:rPr>
        <w:t xml:space="preserve"> al Grupo Parlamentario</w:t>
      </w:r>
      <w:r w:rsidRPr="00CB4C4F">
        <w:rPr>
          <w:rFonts w:ascii="Arial" w:hAnsi="Arial" w:cs="Arial"/>
          <w:sz w:val="22"/>
          <w:szCs w:val="22"/>
        </w:rPr>
        <w:t xml:space="preserve"> </w:t>
      </w:r>
      <w:r w:rsidR="002C5CF9" w:rsidRPr="00CB4C4F">
        <w:rPr>
          <w:rFonts w:ascii="Arial" w:hAnsi="Arial" w:cs="Arial"/>
          <w:sz w:val="22"/>
          <w:szCs w:val="22"/>
        </w:rPr>
        <w:t>de Navarra Suma</w:t>
      </w:r>
      <w:r w:rsidR="00CB4C4F">
        <w:rPr>
          <w:rFonts w:ascii="Arial" w:hAnsi="Arial" w:cs="Arial"/>
          <w:sz w:val="22"/>
          <w:szCs w:val="22"/>
        </w:rPr>
        <w:t xml:space="preserve">, sobre la situación en la </w:t>
      </w:r>
      <w:r w:rsidR="00CB4C4F" w:rsidRPr="00CB4C4F">
        <w:rPr>
          <w:rFonts w:ascii="Arial" w:hAnsi="Arial" w:cs="Arial"/>
          <w:sz w:val="22"/>
          <w:szCs w:val="22"/>
        </w:rPr>
        <w:t>que han quedado los ayunt</w:t>
      </w:r>
      <w:r w:rsidR="00CB4C4F">
        <w:rPr>
          <w:rFonts w:ascii="Arial" w:hAnsi="Arial" w:cs="Arial"/>
          <w:sz w:val="22"/>
          <w:szCs w:val="22"/>
        </w:rPr>
        <w:t xml:space="preserve">amientos que no finalizaron las </w:t>
      </w:r>
      <w:r w:rsidR="00CB4C4F" w:rsidRPr="00CB4C4F">
        <w:rPr>
          <w:rFonts w:ascii="Arial" w:hAnsi="Arial" w:cs="Arial"/>
          <w:sz w:val="22"/>
          <w:szCs w:val="22"/>
        </w:rPr>
        <w:t>inversiones financieramente sostenibles</w:t>
      </w:r>
      <w:r w:rsidR="00CB4C4F">
        <w:rPr>
          <w:rFonts w:ascii="Arial" w:hAnsi="Arial" w:cs="Arial"/>
          <w:sz w:val="22"/>
          <w:szCs w:val="22"/>
        </w:rPr>
        <w:t xml:space="preserve">, </w:t>
      </w:r>
      <w:r w:rsidR="0020264B" w:rsidRPr="00CB4C4F">
        <w:rPr>
          <w:rFonts w:ascii="Arial" w:hAnsi="Arial" w:cs="Arial"/>
          <w:sz w:val="22"/>
          <w:szCs w:val="22"/>
        </w:rPr>
        <w:t>tiene el honor de in</w:t>
      </w:r>
      <w:r w:rsidR="00F75878" w:rsidRPr="00CB4C4F">
        <w:rPr>
          <w:rFonts w:ascii="Arial" w:hAnsi="Arial" w:cs="Arial"/>
          <w:sz w:val="22"/>
          <w:szCs w:val="22"/>
        </w:rPr>
        <w:t>formar que</w:t>
      </w:r>
      <w:r w:rsidR="00CB4C4F">
        <w:rPr>
          <w:rFonts w:ascii="Arial" w:hAnsi="Arial" w:cs="Arial"/>
          <w:sz w:val="22"/>
          <w:szCs w:val="22"/>
        </w:rPr>
        <w:t>,</w:t>
      </w:r>
      <w:r w:rsidR="00F75878" w:rsidRPr="00CB4C4F">
        <w:rPr>
          <w:rFonts w:ascii="Arial" w:hAnsi="Arial" w:cs="Arial"/>
          <w:sz w:val="22"/>
          <w:szCs w:val="22"/>
        </w:rPr>
        <w:t xml:space="preserve"> </w:t>
      </w:r>
      <w:r w:rsidR="00D6726D" w:rsidRPr="00CB4C4F">
        <w:rPr>
          <w:rFonts w:ascii="Arial" w:hAnsi="Arial" w:cs="Arial"/>
          <w:sz w:val="22"/>
          <w:szCs w:val="22"/>
        </w:rPr>
        <w:t>mediante Ley Foral 19/2018</w:t>
      </w:r>
      <w:r w:rsidR="00CB4C4F">
        <w:rPr>
          <w:rFonts w:ascii="Arial" w:hAnsi="Arial" w:cs="Arial"/>
          <w:sz w:val="22"/>
          <w:szCs w:val="22"/>
        </w:rPr>
        <w:t>,</w:t>
      </w:r>
      <w:r w:rsidR="00D6726D" w:rsidRPr="00CB4C4F">
        <w:rPr>
          <w:rFonts w:ascii="Arial" w:hAnsi="Arial" w:cs="Arial"/>
          <w:sz w:val="22"/>
          <w:szCs w:val="22"/>
        </w:rPr>
        <w:t xml:space="preserve"> de 10 de octubre, se aprueba el Plan de Inversiones Financieramente Sostenibles. La </w:t>
      </w:r>
      <w:r w:rsidR="00CB4C4F" w:rsidRPr="00CB4C4F">
        <w:rPr>
          <w:rFonts w:ascii="Arial" w:hAnsi="Arial" w:cs="Arial"/>
          <w:sz w:val="22"/>
          <w:szCs w:val="22"/>
        </w:rPr>
        <w:t>disposición adicional segunda de la ley foral</w:t>
      </w:r>
      <w:r w:rsidR="00D6726D" w:rsidRPr="00CB4C4F">
        <w:rPr>
          <w:rFonts w:ascii="Arial" w:hAnsi="Arial" w:cs="Arial"/>
          <w:sz w:val="22"/>
          <w:szCs w:val="22"/>
        </w:rPr>
        <w:t xml:space="preserve"> establece un régimen especial para las inversiones que figuraban en el Anexo II.</w:t>
      </w:r>
    </w:p>
    <w:p w:rsidR="00CB4C4F" w:rsidRPr="00CB4C4F" w:rsidRDefault="00D6726D" w:rsidP="00D6726D">
      <w:pPr>
        <w:spacing w:line="360" w:lineRule="auto"/>
        <w:ind w:left="426"/>
        <w:jc w:val="both"/>
        <w:rPr>
          <w:rFonts w:ascii="Arial" w:hAnsi="Arial" w:cs="Arial"/>
          <w:sz w:val="22"/>
          <w:szCs w:val="22"/>
        </w:rPr>
      </w:pPr>
      <w:r w:rsidRPr="00CB4C4F">
        <w:rPr>
          <w:rFonts w:ascii="Arial" w:hAnsi="Arial" w:cs="Arial"/>
          <w:sz w:val="22"/>
          <w:szCs w:val="22"/>
        </w:rPr>
        <w:t xml:space="preserve">Conforme al número 2, letra j de la </w:t>
      </w:r>
      <w:r w:rsidR="00CB4C4F" w:rsidRPr="00CB4C4F">
        <w:rPr>
          <w:rFonts w:ascii="Arial" w:hAnsi="Arial" w:cs="Arial"/>
          <w:sz w:val="22"/>
          <w:szCs w:val="22"/>
        </w:rPr>
        <w:t>disposición adicional segunda</w:t>
      </w:r>
      <w:r w:rsidRPr="00CB4C4F">
        <w:rPr>
          <w:rFonts w:ascii="Arial" w:hAnsi="Arial" w:cs="Arial"/>
          <w:sz w:val="22"/>
          <w:szCs w:val="22"/>
        </w:rPr>
        <w:t>, la fecha límite para la entrega de la justificación de la finalización de las obras es el 1 de diciembre de 2019.</w:t>
      </w:r>
    </w:p>
    <w:p w:rsidR="00D6726D" w:rsidRPr="00CB4C4F" w:rsidRDefault="00D6726D" w:rsidP="00D6726D">
      <w:pPr>
        <w:spacing w:line="360" w:lineRule="auto"/>
        <w:ind w:left="426"/>
        <w:jc w:val="both"/>
        <w:rPr>
          <w:rFonts w:ascii="Arial" w:hAnsi="Arial" w:cs="Arial"/>
          <w:sz w:val="22"/>
          <w:szCs w:val="22"/>
        </w:rPr>
      </w:pPr>
      <w:r w:rsidRPr="00CB4C4F">
        <w:rPr>
          <w:rFonts w:ascii="Arial" w:hAnsi="Arial" w:cs="Arial"/>
          <w:sz w:val="22"/>
          <w:szCs w:val="22"/>
        </w:rPr>
        <w:t xml:space="preserve">En la misma </w:t>
      </w:r>
      <w:r w:rsidR="00CB4C4F" w:rsidRPr="00CB4C4F">
        <w:rPr>
          <w:rFonts w:ascii="Arial" w:hAnsi="Arial" w:cs="Arial"/>
          <w:sz w:val="22"/>
          <w:szCs w:val="22"/>
        </w:rPr>
        <w:t xml:space="preserve">disposición adicional segunda </w:t>
      </w:r>
      <w:r w:rsidRPr="00CB4C4F">
        <w:rPr>
          <w:rFonts w:ascii="Arial" w:hAnsi="Arial" w:cs="Arial"/>
          <w:sz w:val="22"/>
          <w:szCs w:val="22"/>
        </w:rPr>
        <w:t>se regula que en caso de finalización de las obras fuera del plazo establecido, los servicios técnicos competentes inspeccionarán la obra o parte de la obra justificada correctamente, a fin de determinar si es susceptible de utilización para el uso público previsto. En caso afirmativo, procederá el abono de la aportación económica correspondiente a la parte del coste que dicho servicio considere acreditada. En caso de no ser susceptible de utilización para el uso público previsto, conllevará la tramitación del oportuno expediente de reintegro de las cantidades que se hubieren percibido.</w:t>
      </w:r>
    </w:p>
    <w:p w:rsidR="00CB4C4F" w:rsidRPr="00CB4C4F" w:rsidRDefault="00D6726D" w:rsidP="00D6726D">
      <w:pPr>
        <w:spacing w:line="360" w:lineRule="auto"/>
        <w:ind w:left="426"/>
        <w:jc w:val="both"/>
        <w:rPr>
          <w:rFonts w:ascii="Arial" w:hAnsi="Arial" w:cs="Arial"/>
          <w:sz w:val="22"/>
          <w:szCs w:val="22"/>
        </w:rPr>
      </w:pPr>
      <w:r w:rsidRPr="00CB4C4F">
        <w:rPr>
          <w:rFonts w:ascii="Arial" w:hAnsi="Arial" w:cs="Arial"/>
          <w:sz w:val="22"/>
          <w:szCs w:val="22"/>
        </w:rPr>
        <w:t xml:space="preserve">La </w:t>
      </w:r>
      <w:r w:rsidR="00CB4C4F" w:rsidRPr="00CB4C4F">
        <w:rPr>
          <w:rFonts w:ascii="Arial" w:hAnsi="Arial" w:cs="Arial"/>
          <w:sz w:val="22"/>
          <w:szCs w:val="22"/>
        </w:rPr>
        <w:t xml:space="preserve">ley foral </w:t>
      </w:r>
      <w:r w:rsidRPr="00CB4C4F">
        <w:rPr>
          <w:rFonts w:ascii="Arial" w:hAnsi="Arial" w:cs="Arial"/>
          <w:sz w:val="22"/>
          <w:szCs w:val="22"/>
        </w:rPr>
        <w:t>no contempla la posibilidad de prorrogar el plazo de presentación de la documentación, por lo que todas las solicitudes de abono final entregadas con posterioridad a la fecha indicada no pueden ser admitidas.</w:t>
      </w:r>
    </w:p>
    <w:p w:rsidR="00CB4C4F" w:rsidRPr="00CB4C4F" w:rsidRDefault="00D6726D" w:rsidP="00D6726D">
      <w:pPr>
        <w:spacing w:line="360" w:lineRule="auto"/>
        <w:ind w:left="426"/>
        <w:jc w:val="both"/>
        <w:rPr>
          <w:rFonts w:ascii="Arial" w:hAnsi="Arial" w:cs="Arial"/>
          <w:sz w:val="22"/>
          <w:szCs w:val="22"/>
        </w:rPr>
      </w:pPr>
      <w:r w:rsidRPr="00CB4C4F">
        <w:rPr>
          <w:rFonts w:ascii="Arial" w:hAnsi="Arial" w:cs="Arial"/>
          <w:sz w:val="22"/>
          <w:szCs w:val="22"/>
        </w:rPr>
        <w:t>Conforme a la Disposición Adicional Segunda, se abonarán las aportaciones correspondientes a obras o parte de obras que sean susceptibles de uso público, siempre que se haya remitido en plazo la documentación correspondiente al final de obra.</w:t>
      </w:r>
    </w:p>
    <w:p w:rsidR="00CB4C4F" w:rsidRPr="00CB4C4F" w:rsidRDefault="00D6726D" w:rsidP="00D6726D">
      <w:pPr>
        <w:spacing w:line="360" w:lineRule="auto"/>
        <w:ind w:left="426"/>
        <w:jc w:val="both"/>
        <w:rPr>
          <w:rFonts w:ascii="Arial" w:hAnsi="Arial" w:cs="Arial"/>
          <w:sz w:val="22"/>
          <w:szCs w:val="22"/>
        </w:rPr>
      </w:pPr>
      <w:r w:rsidRPr="00CB4C4F">
        <w:rPr>
          <w:rFonts w:ascii="Arial" w:hAnsi="Arial" w:cs="Arial"/>
          <w:sz w:val="22"/>
          <w:szCs w:val="22"/>
        </w:rPr>
        <w:t>Los ayuntamientos de Cabanillas, Marcilla y Villafranca tenían los siguientes expedientes incluidos dentro del Plan de Inversiones Financieramente Sostenibles:</w:t>
      </w:r>
    </w:p>
    <w:p w:rsidR="000963A3" w:rsidRPr="00CB4C4F" w:rsidRDefault="000963A3" w:rsidP="000963A3">
      <w:pPr>
        <w:spacing w:line="360" w:lineRule="auto"/>
        <w:ind w:left="426"/>
        <w:jc w:val="both"/>
        <w:rPr>
          <w:rFonts w:ascii="Arial" w:hAnsi="Arial" w:cs="Arial"/>
          <w:sz w:val="22"/>
          <w:szCs w:val="22"/>
        </w:rPr>
      </w:pPr>
      <w:r w:rsidRPr="00CB4C4F">
        <w:rPr>
          <w:rFonts w:ascii="Arial" w:hAnsi="Arial" w:cs="Arial"/>
          <w:sz w:val="22"/>
          <w:szCs w:val="22"/>
        </w:rPr>
        <w:t>Cabanillas:</w:t>
      </w:r>
    </w:p>
    <w:p w:rsidR="000963A3" w:rsidRPr="00CB4C4F" w:rsidRDefault="000963A3" w:rsidP="000963A3">
      <w:pPr>
        <w:pStyle w:val="Prrafodelista"/>
        <w:numPr>
          <w:ilvl w:val="0"/>
          <w:numId w:val="3"/>
        </w:numPr>
        <w:spacing w:line="360" w:lineRule="auto"/>
        <w:ind w:left="709"/>
        <w:jc w:val="both"/>
        <w:rPr>
          <w:rFonts w:ascii="Arial" w:hAnsi="Arial" w:cs="Arial"/>
          <w:sz w:val="22"/>
          <w:szCs w:val="22"/>
        </w:rPr>
      </w:pPr>
      <w:r w:rsidRPr="00CB4C4F">
        <w:rPr>
          <w:rFonts w:ascii="Arial" w:hAnsi="Arial" w:cs="Arial"/>
          <w:sz w:val="22"/>
          <w:szCs w:val="22"/>
        </w:rPr>
        <w:t>02061-IFS-19. Redes de abastecimiento, saneamiento y pluviales de calles</w:t>
      </w:r>
    </w:p>
    <w:p w:rsidR="000963A3" w:rsidRPr="00CB4C4F" w:rsidRDefault="000963A3" w:rsidP="000963A3">
      <w:pPr>
        <w:pStyle w:val="Prrafodelista"/>
        <w:numPr>
          <w:ilvl w:val="0"/>
          <w:numId w:val="3"/>
        </w:numPr>
        <w:spacing w:line="360" w:lineRule="auto"/>
        <w:ind w:left="709"/>
        <w:jc w:val="both"/>
        <w:rPr>
          <w:rFonts w:ascii="Arial" w:hAnsi="Arial" w:cs="Arial"/>
          <w:sz w:val="22"/>
          <w:szCs w:val="22"/>
        </w:rPr>
      </w:pPr>
      <w:r w:rsidRPr="00CB4C4F">
        <w:rPr>
          <w:rFonts w:ascii="Arial" w:hAnsi="Arial" w:cs="Arial"/>
          <w:sz w:val="22"/>
          <w:szCs w:val="22"/>
        </w:rPr>
        <w:t>30014-IFS-19. Adecuación de accesos y aseos al C.T.E. en las instalaciones deportivas</w:t>
      </w:r>
    </w:p>
    <w:p w:rsidR="000963A3" w:rsidRPr="00CB4C4F" w:rsidRDefault="000963A3" w:rsidP="000963A3">
      <w:pPr>
        <w:pStyle w:val="Prrafodelista"/>
        <w:numPr>
          <w:ilvl w:val="0"/>
          <w:numId w:val="3"/>
        </w:numPr>
        <w:spacing w:line="360" w:lineRule="auto"/>
        <w:ind w:left="709"/>
        <w:jc w:val="both"/>
        <w:rPr>
          <w:rFonts w:ascii="Arial" w:hAnsi="Arial" w:cs="Arial"/>
          <w:sz w:val="22"/>
          <w:szCs w:val="22"/>
        </w:rPr>
      </w:pPr>
      <w:r w:rsidRPr="00CB4C4F">
        <w:rPr>
          <w:rFonts w:ascii="Arial" w:hAnsi="Arial" w:cs="Arial"/>
          <w:sz w:val="22"/>
          <w:szCs w:val="22"/>
        </w:rPr>
        <w:t>51042-IFS-19. Pavimentación calles</w:t>
      </w:r>
    </w:p>
    <w:p w:rsidR="00CB4C4F" w:rsidRPr="00CB4C4F" w:rsidRDefault="000963A3" w:rsidP="000963A3">
      <w:pPr>
        <w:pStyle w:val="Prrafodelista"/>
        <w:numPr>
          <w:ilvl w:val="0"/>
          <w:numId w:val="3"/>
        </w:numPr>
        <w:spacing w:line="360" w:lineRule="auto"/>
        <w:ind w:left="709"/>
        <w:jc w:val="both"/>
        <w:rPr>
          <w:rFonts w:ascii="Arial" w:hAnsi="Arial" w:cs="Arial"/>
          <w:sz w:val="22"/>
          <w:szCs w:val="22"/>
        </w:rPr>
      </w:pPr>
      <w:r w:rsidRPr="00CB4C4F">
        <w:rPr>
          <w:rFonts w:ascii="Arial" w:hAnsi="Arial" w:cs="Arial"/>
          <w:sz w:val="22"/>
          <w:szCs w:val="22"/>
        </w:rPr>
        <w:t>52021-IFS-19. Pavimentación calles Fragua, Las Eras, Juan XXIII (tramo) y Canal A</w:t>
      </w:r>
    </w:p>
    <w:p w:rsidR="000963A3" w:rsidRPr="00CB4C4F" w:rsidRDefault="000963A3" w:rsidP="000963A3">
      <w:pPr>
        <w:spacing w:line="360" w:lineRule="auto"/>
        <w:ind w:left="426"/>
        <w:jc w:val="both"/>
        <w:rPr>
          <w:rFonts w:ascii="Arial" w:hAnsi="Arial" w:cs="Arial"/>
          <w:sz w:val="22"/>
          <w:szCs w:val="22"/>
        </w:rPr>
      </w:pPr>
      <w:r w:rsidRPr="00CB4C4F">
        <w:rPr>
          <w:rFonts w:ascii="Arial" w:hAnsi="Arial" w:cs="Arial"/>
          <w:sz w:val="22"/>
          <w:szCs w:val="22"/>
        </w:rPr>
        <w:t>Marcilla:</w:t>
      </w:r>
    </w:p>
    <w:p w:rsidR="000963A3" w:rsidRPr="00CB4C4F" w:rsidRDefault="000963A3" w:rsidP="000963A3">
      <w:pPr>
        <w:pStyle w:val="Prrafodelista"/>
        <w:numPr>
          <w:ilvl w:val="0"/>
          <w:numId w:val="4"/>
        </w:numPr>
        <w:spacing w:line="360" w:lineRule="auto"/>
        <w:ind w:left="709"/>
        <w:jc w:val="both"/>
        <w:rPr>
          <w:rFonts w:ascii="Arial" w:hAnsi="Arial" w:cs="Arial"/>
          <w:sz w:val="22"/>
          <w:szCs w:val="22"/>
        </w:rPr>
      </w:pPr>
      <w:r w:rsidRPr="00CB4C4F">
        <w:rPr>
          <w:rFonts w:ascii="Arial" w:hAnsi="Arial" w:cs="Arial"/>
          <w:sz w:val="22"/>
          <w:szCs w:val="22"/>
        </w:rPr>
        <w:t xml:space="preserve">02061-IFS-19. Redes de abastecimiento, saneamiento y pluviales calles Nueva, San Ezequiel Moreno, </w:t>
      </w:r>
      <w:proofErr w:type="spellStart"/>
      <w:r w:rsidRPr="00CB4C4F">
        <w:rPr>
          <w:rFonts w:ascii="Arial" w:hAnsi="Arial" w:cs="Arial"/>
          <w:sz w:val="22"/>
          <w:szCs w:val="22"/>
        </w:rPr>
        <w:t>Urmeneta</w:t>
      </w:r>
      <w:proofErr w:type="spellEnd"/>
      <w:r w:rsidRPr="00CB4C4F">
        <w:rPr>
          <w:rFonts w:ascii="Arial" w:hAnsi="Arial" w:cs="Arial"/>
          <w:sz w:val="22"/>
          <w:szCs w:val="22"/>
        </w:rPr>
        <w:t xml:space="preserve"> y El Puente</w:t>
      </w:r>
    </w:p>
    <w:p w:rsidR="000963A3" w:rsidRPr="00CB4C4F" w:rsidRDefault="000963A3" w:rsidP="000963A3">
      <w:pPr>
        <w:pStyle w:val="Prrafodelista"/>
        <w:numPr>
          <w:ilvl w:val="0"/>
          <w:numId w:val="4"/>
        </w:numPr>
        <w:spacing w:line="360" w:lineRule="auto"/>
        <w:ind w:left="709"/>
        <w:jc w:val="both"/>
        <w:rPr>
          <w:rFonts w:ascii="Arial" w:hAnsi="Arial" w:cs="Arial"/>
          <w:sz w:val="22"/>
          <w:szCs w:val="22"/>
        </w:rPr>
      </w:pPr>
      <w:r w:rsidRPr="00CB4C4F">
        <w:rPr>
          <w:rFonts w:ascii="Arial" w:hAnsi="Arial" w:cs="Arial"/>
          <w:sz w:val="22"/>
          <w:szCs w:val="22"/>
        </w:rPr>
        <w:lastRenderedPageBreak/>
        <w:t>30014-IFS-19. Renovación instalación alumbrado público</w:t>
      </w:r>
    </w:p>
    <w:p w:rsidR="00CB4C4F" w:rsidRPr="00CB4C4F" w:rsidRDefault="000963A3" w:rsidP="000963A3">
      <w:pPr>
        <w:pStyle w:val="Prrafodelista"/>
        <w:numPr>
          <w:ilvl w:val="0"/>
          <w:numId w:val="4"/>
        </w:numPr>
        <w:spacing w:line="360" w:lineRule="auto"/>
        <w:ind w:left="709"/>
        <w:jc w:val="both"/>
        <w:rPr>
          <w:rFonts w:ascii="Arial" w:hAnsi="Arial" w:cs="Arial"/>
          <w:sz w:val="22"/>
          <w:szCs w:val="22"/>
        </w:rPr>
      </w:pPr>
      <w:r w:rsidRPr="00CB4C4F">
        <w:rPr>
          <w:rFonts w:ascii="Arial" w:hAnsi="Arial" w:cs="Arial"/>
          <w:sz w:val="22"/>
          <w:szCs w:val="22"/>
        </w:rPr>
        <w:t xml:space="preserve">51042-IFS-19. Pavimentación calles Nueva, San Ezequiel Moreno, </w:t>
      </w:r>
      <w:proofErr w:type="spellStart"/>
      <w:r w:rsidRPr="00CB4C4F">
        <w:rPr>
          <w:rFonts w:ascii="Arial" w:hAnsi="Arial" w:cs="Arial"/>
          <w:sz w:val="22"/>
          <w:szCs w:val="22"/>
        </w:rPr>
        <w:t>Urmeneta</w:t>
      </w:r>
      <w:proofErr w:type="spellEnd"/>
      <w:r w:rsidRPr="00CB4C4F">
        <w:rPr>
          <w:rFonts w:ascii="Arial" w:hAnsi="Arial" w:cs="Arial"/>
          <w:sz w:val="22"/>
          <w:szCs w:val="22"/>
        </w:rPr>
        <w:t xml:space="preserve"> y El Puente</w:t>
      </w:r>
    </w:p>
    <w:p w:rsidR="000963A3" w:rsidRPr="00CB4C4F" w:rsidRDefault="000963A3" w:rsidP="000963A3">
      <w:pPr>
        <w:spacing w:line="360" w:lineRule="auto"/>
        <w:ind w:left="426"/>
        <w:jc w:val="both"/>
        <w:rPr>
          <w:rFonts w:ascii="Arial" w:hAnsi="Arial" w:cs="Arial"/>
          <w:sz w:val="22"/>
          <w:szCs w:val="22"/>
        </w:rPr>
      </w:pPr>
      <w:r w:rsidRPr="00CB4C4F">
        <w:rPr>
          <w:rFonts w:ascii="Arial" w:hAnsi="Arial" w:cs="Arial"/>
          <w:sz w:val="22"/>
          <w:szCs w:val="22"/>
        </w:rPr>
        <w:t>Villafranca:</w:t>
      </w:r>
    </w:p>
    <w:p w:rsidR="00CB4C4F" w:rsidRPr="00CB4C4F" w:rsidRDefault="000963A3" w:rsidP="000963A3">
      <w:pPr>
        <w:pStyle w:val="Prrafodelista"/>
        <w:numPr>
          <w:ilvl w:val="0"/>
          <w:numId w:val="5"/>
        </w:numPr>
        <w:spacing w:line="360" w:lineRule="auto"/>
        <w:ind w:left="709"/>
        <w:jc w:val="both"/>
        <w:rPr>
          <w:rFonts w:ascii="Arial" w:hAnsi="Arial" w:cs="Arial"/>
          <w:sz w:val="22"/>
          <w:szCs w:val="22"/>
        </w:rPr>
      </w:pPr>
      <w:r w:rsidRPr="00CB4C4F">
        <w:rPr>
          <w:rFonts w:ascii="Arial" w:hAnsi="Arial" w:cs="Arial"/>
          <w:sz w:val="22"/>
          <w:szCs w:val="22"/>
        </w:rPr>
        <w:t>02015-IFS-19. Redes de abastecimiento, saneamiento y pluviales calles Crucero Portal, Virgen del Portal, Los Muchos y Paseo</w:t>
      </w:r>
    </w:p>
    <w:p w:rsidR="000963A3" w:rsidRPr="00CB4C4F" w:rsidRDefault="000963A3" w:rsidP="000963A3">
      <w:pPr>
        <w:pStyle w:val="Prrafodelista"/>
        <w:numPr>
          <w:ilvl w:val="0"/>
          <w:numId w:val="5"/>
        </w:numPr>
        <w:spacing w:line="360" w:lineRule="auto"/>
        <w:ind w:left="709"/>
        <w:jc w:val="both"/>
        <w:rPr>
          <w:rFonts w:ascii="Arial" w:hAnsi="Arial" w:cs="Arial"/>
          <w:sz w:val="22"/>
          <w:szCs w:val="22"/>
        </w:rPr>
      </w:pPr>
      <w:r w:rsidRPr="00CB4C4F">
        <w:rPr>
          <w:rFonts w:ascii="Arial" w:hAnsi="Arial" w:cs="Arial"/>
          <w:sz w:val="22"/>
          <w:szCs w:val="22"/>
        </w:rPr>
        <w:t>04073-IFS-19. Renovación alumbrado público del centro urbano</w:t>
      </w:r>
    </w:p>
    <w:p w:rsidR="00CB4C4F" w:rsidRPr="00CB4C4F" w:rsidRDefault="000963A3" w:rsidP="000963A3">
      <w:pPr>
        <w:pStyle w:val="Prrafodelista"/>
        <w:numPr>
          <w:ilvl w:val="0"/>
          <w:numId w:val="5"/>
        </w:numPr>
        <w:spacing w:line="360" w:lineRule="auto"/>
        <w:ind w:left="709"/>
        <w:jc w:val="both"/>
        <w:rPr>
          <w:rFonts w:ascii="Arial" w:hAnsi="Arial" w:cs="Arial"/>
          <w:sz w:val="22"/>
          <w:szCs w:val="22"/>
        </w:rPr>
      </w:pPr>
      <w:r w:rsidRPr="00CB4C4F">
        <w:rPr>
          <w:rFonts w:ascii="Arial" w:hAnsi="Arial" w:cs="Arial"/>
          <w:sz w:val="22"/>
          <w:szCs w:val="22"/>
        </w:rPr>
        <w:t>51011-IFS-19. Pavimentación calles Crucero Portal, Virgen del Portal, Los Muchos y Paseo</w:t>
      </w:r>
    </w:p>
    <w:p w:rsidR="007E49C1" w:rsidRPr="00CB4C4F" w:rsidRDefault="007E49C1" w:rsidP="007E49C1">
      <w:pPr>
        <w:spacing w:line="360" w:lineRule="auto"/>
        <w:ind w:left="426"/>
        <w:jc w:val="both"/>
        <w:rPr>
          <w:rFonts w:ascii="Arial" w:hAnsi="Arial" w:cs="Arial"/>
          <w:sz w:val="22"/>
          <w:szCs w:val="22"/>
        </w:rPr>
      </w:pPr>
      <w:r w:rsidRPr="00CB4C4F">
        <w:rPr>
          <w:rFonts w:ascii="Arial" w:hAnsi="Arial" w:cs="Arial"/>
          <w:sz w:val="22"/>
          <w:szCs w:val="22"/>
        </w:rPr>
        <w:t xml:space="preserve">Los ayuntamientos de Cabanillas, Marcilla y Villafranca no fueron capaces de finalizar las obras en plazo. La ejecución final fue variable para las tres entidades locales. Por parte del Servicio de Infraestructuras Locales de la Dirección General de Administración Local y Despoblación se procedió a revisar la documentación presentada con el fin de determinar si las obras eran susceptibles al uso público y se abonaron las cantidades correspondientes. </w:t>
      </w:r>
      <w:r w:rsidR="00A71ED2" w:rsidRPr="00CB4C4F">
        <w:rPr>
          <w:rFonts w:ascii="Arial" w:hAnsi="Arial" w:cs="Arial"/>
          <w:sz w:val="22"/>
          <w:szCs w:val="22"/>
        </w:rPr>
        <w:t>A modo</w:t>
      </w:r>
      <w:r w:rsidRPr="00CB4C4F">
        <w:rPr>
          <w:rFonts w:ascii="Arial" w:hAnsi="Arial" w:cs="Arial"/>
          <w:sz w:val="22"/>
          <w:szCs w:val="22"/>
        </w:rPr>
        <w:t xml:space="preserve"> resumen</w:t>
      </w:r>
      <w:r w:rsidR="00A71ED2" w:rsidRPr="00CB4C4F">
        <w:rPr>
          <w:rFonts w:ascii="Arial" w:hAnsi="Arial" w:cs="Arial"/>
          <w:sz w:val="22"/>
          <w:szCs w:val="22"/>
        </w:rPr>
        <w:t xml:space="preserve">, las </w:t>
      </w:r>
      <w:r w:rsidRPr="00CB4C4F">
        <w:rPr>
          <w:rFonts w:ascii="Arial" w:hAnsi="Arial" w:cs="Arial"/>
          <w:sz w:val="22"/>
          <w:szCs w:val="22"/>
        </w:rPr>
        <w:t>inversiones ejecutada</w:t>
      </w:r>
      <w:r w:rsidR="00A71ED2" w:rsidRPr="00CB4C4F">
        <w:rPr>
          <w:rFonts w:ascii="Arial" w:hAnsi="Arial" w:cs="Arial"/>
          <w:sz w:val="22"/>
          <w:szCs w:val="22"/>
        </w:rPr>
        <w:t>s</w:t>
      </w:r>
      <w:r w:rsidRPr="00CB4C4F">
        <w:rPr>
          <w:rFonts w:ascii="Arial" w:hAnsi="Arial" w:cs="Arial"/>
          <w:sz w:val="22"/>
          <w:szCs w:val="22"/>
        </w:rPr>
        <w:t xml:space="preserve"> y aportaciones percibidas por</w:t>
      </w:r>
      <w:r w:rsidR="00A71ED2" w:rsidRPr="00CB4C4F">
        <w:rPr>
          <w:rFonts w:ascii="Arial" w:hAnsi="Arial" w:cs="Arial"/>
          <w:sz w:val="22"/>
          <w:szCs w:val="22"/>
        </w:rPr>
        <w:t xml:space="preserve"> cada</w:t>
      </w:r>
      <w:r w:rsidRPr="00CB4C4F">
        <w:rPr>
          <w:rFonts w:ascii="Arial" w:hAnsi="Arial" w:cs="Arial"/>
          <w:sz w:val="22"/>
          <w:szCs w:val="22"/>
        </w:rPr>
        <w:t xml:space="preserve"> entidad</w:t>
      </w:r>
      <w:r w:rsidR="00A71ED2" w:rsidRPr="00CB4C4F">
        <w:rPr>
          <w:rFonts w:ascii="Arial" w:hAnsi="Arial" w:cs="Arial"/>
          <w:sz w:val="22"/>
          <w:szCs w:val="22"/>
        </w:rPr>
        <w:t xml:space="preserve"> son las siguientes</w:t>
      </w:r>
      <w:r w:rsidRPr="00CB4C4F">
        <w:rPr>
          <w:rFonts w:ascii="Arial" w:hAnsi="Arial" w:cs="Arial"/>
          <w:sz w:val="22"/>
          <w:szCs w:val="22"/>
        </w:rPr>
        <w:t xml:space="preserve">: </w:t>
      </w:r>
    </w:p>
    <w:p w:rsidR="00710A53" w:rsidRPr="00CB4C4F" w:rsidRDefault="00710A53" w:rsidP="00710A53">
      <w:pPr>
        <w:spacing w:line="360" w:lineRule="auto"/>
        <w:ind w:left="426"/>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1418"/>
        <w:gridCol w:w="2348"/>
        <w:gridCol w:w="2521"/>
      </w:tblGrid>
      <w:tr w:rsidR="004B53C2" w:rsidRPr="007835E8" w:rsidTr="007835E8">
        <w:trPr>
          <w:trHeight w:val="20"/>
          <w:jc w:val="center"/>
        </w:trPr>
        <w:tc>
          <w:tcPr>
            <w:tcW w:w="1418" w:type="dxa"/>
          </w:tcPr>
          <w:p w:rsidR="004B53C2" w:rsidRPr="007835E8" w:rsidRDefault="004B53C2" w:rsidP="007835E8">
            <w:pPr>
              <w:spacing w:before="20" w:after="20"/>
              <w:rPr>
                <w:rFonts w:asciiTheme="minorHAnsi" w:hAnsiTheme="minorHAnsi" w:cs="Arial"/>
                <w:sz w:val="18"/>
                <w:szCs w:val="18"/>
              </w:rPr>
            </w:pPr>
            <w:bookmarkStart w:id="0" w:name="_GoBack"/>
          </w:p>
        </w:tc>
        <w:tc>
          <w:tcPr>
            <w:tcW w:w="2348" w:type="dxa"/>
            <w:vAlign w:val="center"/>
          </w:tcPr>
          <w:p w:rsidR="004B53C2" w:rsidRPr="007835E8" w:rsidRDefault="004B53C2" w:rsidP="007835E8">
            <w:pPr>
              <w:spacing w:before="20" w:after="20"/>
              <w:jc w:val="center"/>
              <w:rPr>
                <w:rFonts w:asciiTheme="minorHAnsi" w:hAnsiTheme="minorHAnsi" w:cs="Arial"/>
                <w:sz w:val="18"/>
                <w:szCs w:val="18"/>
              </w:rPr>
            </w:pPr>
            <w:r w:rsidRPr="007835E8">
              <w:rPr>
                <w:rFonts w:asciiTheme="minorHAnsi" w:hAnsiTheme="minorHAnsi" w:cs="Arial"/>
                <w:sz w:val="18"/>
                <w:szCs w:val="18"/>
              </w:rPr>
              <w:t>% Inversión ejecutada</w:t>
            </w:r>
          </w:p>
        </w:tc>
        <w:tc>
          <w:tcPr>
            <w:tcW w:w="2521" w:type="dxa"/>
            <w:vAlign w:val="center"/>
          </w:tcPr>
          <w:p w:rsidR="004B53C2" w:rsidRPr="007835E8" w:rsidRDefault="004B53C2" w:rsidP="007835E8">
            <w:pPr>
              <w:spacing w:before="20" w:after="20"/>
              <w:jc w:val="center"/>
              <w:rPr>
                <w:rFonts w:asciiTheme="minorHAnsi" w:hAnsiTheme="minorHAnsi" w:cs="Arial"/>
                <w:sz w:val="18"/>
                <w:szCs w:val="18"/>
              </w:rPr>
            </w:pPr>
            <w:r w:rsidRPr="007835E8">
              <w:rPr>
                <w:rFonts w:asciiTheme="minorHAnsi" w:hAnsiTheme="minorHAnsi" w:cs="Arial"/>
                <w:sz w:val="18"/>
                <w:szCs w:val="18"/>
              </w:rPr>
              <w:t>Aportación final abonada</w:t>
            </w:r>
          </w:p>
        </w:tc>
      </w:tr>
      <w:tr w:rsidR="004B53C2" w:rsidRPr="007835E8" w:rsidTr="007835E8">
        <w:trPr>
          <w:trHeight w:val="20"/>
          <w:jc w:val="center"/>
        </w:trPr>
        <w:tc>
          <w:tcPr>
            <w:tcW w:w="1418" w:type="dxa"/>
            <w:vAlign w:val="center"/>
          </w:tcPr>
          <w:p w:rsidR="004B53C2" w:rsidRPr="007835E8" w:rsidRDefault="004B53C2" w:rsidP="007835E8">
            <w:pPr>
              <w:spacing w:before="20" w:after="20"/>
              <w:rPr>
                <w:rFonts w:asciiTheme="minorHAnsi" w:hAnsiTheme="minorHAnsi" w:cs="Arial"/>
                <w:sz w:val="18"/>
                <w:szCs w:val="18"/>
              </w:rPr>
            </w:pPr>
            <w:r w:rsidRPr="007835E8">
              <w:rPr>
                <w:rFonts w:asciiTheme="minorHAnsi" w:hAnsiTheme="minorHAnsi" w:cs="Arial"/>
                <w:sz w:val="18"/>
                <w:szCs w:val="18"/>
              </w:rPr>
              <w:t>Cabanillas</w:t>
            </w:r>
          </w:p>
        </w:tc>
        <w:tc>
          <w:tcPr>
            <w:tcW w:w="2348" w:type="dxa"/>
            <w:vAlign w:val="center"/>
          </w:tcPr>
          <w:p w:rsidR="004B53C2" w:rsidRPr="007835E8" w:rsidRDefault="004B53C2" w:rsidP="007835E8">
            <w:pPr>
              <w:spacing w:before="20" w:after="20"/>
              <w:jc w:val="center"/>
              <w:rPr>
                <w:rFonts w:asciiTheme="minorHAnsi" w:hAnsiTheme="minorHAnsi" w:cs="Arial"/>
                <w:sz w:val="18"/>
                <w:szCs w:val="18"/>
              </w:rPr>
            </w:pPr>
            <w:r w:rsidRPr="007835E8">
              <w:rPr>
                <w:rFonts w:asciiTheme="minorHAnsi" w:hAnsiTheme="minorHAnsi" w:cs="Arial"/>
                <w:sz w:val="18"/>
                <w:szCs w:val="18"/>
              </w:rPr>
              <w:t>15%</w:t>
            </w:r>
          </w:p>
        </w:tc>
        <w:tc>
          <w:tcPr>
            <w:tcW w:w="2521" w:type="dxa"/>
            <w:vAlign w:val="center"/>
          </w:tcPr>
          <w:p w:rsidR="004B53C2" w:rsidRPr="007835E8" w:rsidRDefault="004B53C2" w:rsidP="007835E8">
            <w:pPr>
              <w:spacing w:before="20" w:after="20"/>
              <w:jc w:val="right"/>
              <w:rPr>
                <w:rFonts w:asciiTheme="minorHAnsi" w:hAnsiTheme="minorHAnsi" w:cs="Arial"/>
                <w:sz w:val="18"/>
                <w:szCs w:val="18"/>
              </w:rPr>
            </w:pPr>
            <w:r w:rsidRPr="007835E8">
              <w:rPr>
                <w:rFonts w:asciiTheme="minorHAnsi" w:hAnsiTheme="minorHAnsi" w:cs="Arial"/>
                <w:sz w:val="18"/>
                <w:szCs w:val="18"/>
              </w:rPr>
              <w:t>121.266,60</w:t>
            </w:r>
          </w:p>
        </w:tc>
      </w:tr>
      <w:tr w:rsidR="004B53C2" w:rsidRPr="007835E8" w:rsidTr="007835E8">
        <w:trPr>
          <w:trHeight w:val="20"/>
          <w:jc w:val="center"/>
        </w:trPr>
        <w:tc>
          <w:tcPr>
            <w:tcW w:w="1418" w:type="dxa"/>
            <w:vAlign w:val="center"/>
          </w:tcPr>
          <w:p w:rsidR="004B53C2" w:rsidRPr="007835E8" w:rsidRDefault="004B53C2" w:rsidP="007835E8">
            <w:pPr>
              <w:spacing w:before="20" w:after="20"/>
              <w:rPr>
                <w:rFonts w:asciiTheme="minorHAnsi" w:hAnsiTheme="minorHAnsi" w:cs="Arial"/>
                <w:sz w:val="18"/>
                <w:szCs w:val="18"/>
              </w:rPr>
            </w:pPr>
            <w:r w:rsidRPr="007835E8">
              <w:rPr>
                <w:rFonts w:asciiTheme="minorHAnsi" w:hAnsiTheme="minorHAnsi" w:cs="Arial"/>
                <w:sz w:val="18"/>
                <w:szCs w:val="18"/>
              </w:rPr>
              <w:t>Marcilla</w:t>
            </w:r>
          </w:p>
        </w:tc>
        <w:tc>
          <w:tcPr>
            <w:tcW w:w="2348" w:type="dxa"/>
            <w:vAlign w:val="center"/>
          </w:tcPr>
          <w:p w:rsidR="004B53C2" w:rsidRPr="007835E8" w:rsidRDefault="004B53C2" w:rsidP="007835E8">
            <w:pPr>
              <w:spacing w:before="20" w:after="20"/>
              <w:jc w:val="center"/>
              <w:rPr>
                <w:rFonts w:asciiTheme="minorHAnsi" w:hAnsiTheme="minorHAnsi" w:cs="Arial"/>
                <w:sz w:val="18"/>
                <w:szCs w:val="18"/>
              </w:rPr>
            </w:pPr>
            <w:r w:rsidRPr="007835E8">
              <w:rPr>
                <w:rFonts w:asciiTheme="minorHAnsi" w:hAnsiTheme="minorHAnsi" w:cs="Arial"/>
                <w:sz w:val="18"/>
                <w:szCs w:val="18"/>
              </w:rPr>
              <w:t>33%</w:t>
            </w:r>
          </w:p>
        </w:tc>
        <w:tc>
          <w:tcPr>
            <w:tcW w:w="2521" w:type="dxa"/>
            <w:vAlign w:val="center"/>
          </w:tcPr>
          <w:p w:rsidR="004B53C2" w:rsidRPr="007835E8" w:rsidRDefault="004B53C2" w:rsidP="007835E8">
            <w:pPr>
              <w:spacing w:before="20" w:after="20"/>
              <w:jc w:val="right"/>
              <w:rPr>
                <w:rFonts w:asciiTheme="minorHAnsi" w:hAnsiTheme="minorHAnsi" w:cs="Arial"/>
                <w:sz w:val="18"/>
                <w:szCs w:val="18"/>
              </w:rPr>
            </w:pPr>
            <w:r w:rsidRPr="007835E8">
              <w:rPr>
                <w:rFonts w:asciiTheme="minorHAnsi" w:hAnsiTheme="minorHAnsi" w:cs="Arial"/>
                <w:sz w:val="18"/>
                <w:szCs w:val="18"/>
              </w:rPr>
              <w:t>302.785,47</w:t>
            </w:r>
          </w:p>
        </w:tc>
      </w:tr>
      <w:tr w:rsidR="004B53C2" w:rsidRPr="007835E8" w:rsidTr="007835E8">
        <w:trPr>
          <w:trHeight w:val="20"/>
          <w:jc w:val="center"/>
        </w:trPr>
        <w:tc>
          <w:tcPr>
            <w:tcW w:w="1418" w:type="dxa"/>
            <w:vAlign w:val="center"/>
          </w:tcPr>
          <w:p w:rsidR="004B53C2" w:rsidRPr="007835E8" w:rsidRDefault="004B53C2" w:rsidP="007835E8">
            <w:pPr>
              <w:spacing w:before="20" w:after="20"/>
              <w:rPr>
                <w:rFonts w:asciiTheme="minorHAnsi" w:hAnsiTheme="minorHAnsi" w:cs="Arial"/>
                <w:sz w:val="18"/>
                <w:szCs w:val="18"/>
              </w:rPr>
            </w:pPr>
            <w:r w:rsidRPr="007835E8">
              <w:rPr>
                <w:rFonts w:asciiTheme="minorHAnsi" w:hAnsiTheme="minorHAnsi" w:cs="Arial"/>
                <w:sz w:val="18"/>
                <w:szCs w:val="18"/>
              </w:rPr>
              <w:t>Villafranca</w:t>
            </w:r>
          </w:p>
        </w:tc>
        <w:tc>
          <w:tcPr>
            <w:tcW w:w="2348" w:type="dxa"/>
            <w:vAlign w:val="center"/>
          </w:tcPr>
          <w:p w:rsidR="004B53C2" w:rsidRPr="007835E8" w:rsidRDefault="004B53C2" w:rsidP="007835E8">
            <w:pPr>
              <w:spacing w:before="20" w:after="20"/>
              <w:jc w:val="center"/>
              <w:rPr>
                <w:rFonts w:asciiTheme="minorHAnsi" w:hAnsiTheme="minorHAnsi" w:cs="Arial"/>
                <w:sz w:val="18"/>
                <w:szCs w:val="18"/>
              </w:rPr>
            </w:pPr>
            <w:r w:rsidRPr="007835E8">
              <w:rPr>
                <w:rFonts w:asciiTheme="minorHAnsi" w:hAnsiTheme="minorHAnsi" w:cs="Arial"/>
                <w:sz w:val="18"/>
                <w:szCs w:val="18"/>
              </w:rPr>
              <w:t>70%</w:t>
            </w:r>
          </w:p>
        </w:tc>
        <w:tc>
          <w:tcPr>
            <w:tcW w:w="2521" w:type="dxa"/>
            <w:vAlign w:val="center"/>
          </w:tcPr>
          <w:p w:rsidR="004B53C2" w:rsidRPr="007835E8" w:rsidRDefault="004B53C2" w:rsidP="007835E8">
            <w:pPr>
              <w:spacing w:before="20" w:after="20"/>
              <w:jc w:val="right"/>
              <w:rPr>
                <w:rFonts w:asciiTheme="minorHAnsi" w:hAnsiTheme="minorHAnsi" w:cs="Arial"/>
                <w:sz w:val="18"/>
                <w:szCs w:val="18"/>
              </w:rPr>
            </w:pPr>
            <w:r w:rsidRPr="007835E8">
              <w:rPr>
                <w:rFonts w:asciiTheme="minorHAnsi" w:hAnsiTheme="minorHAnsi" w:cs="Arial"/>
                <w:sz w:val="18"/>
                <w:szCs w:val="18"/>
              </w:rPr>
              <w:t>525.295,26</w:t>
            </w:r>
          </w:p>
        </w:tc>
      </w:tr>
      <w:bookmarkEnd w:id="0"/>
    </w:tbl>
    <w:p w:rsidR="00304F58" w:rsidRPr="00CB4C4F" w:rsidRDefault="00304F58" w:rsidP="00710A53">
      <w:pPr>
        <w:spacing w:line="360" w:lineRule="auto"/>
        <w:ind w:left="426"/>
        <w:jc w:val="both"/>
        <w:rPr>
          <w:rFonts w:ascii="Arial" w:hAnsi="Arial" w:cs="Arial"/>
          <w:sz w:val="22"/>
          <w:szCs w:val="22"/>
        </w:rPr>
      </w:pPr>
    </w:p>
    <w:p w:rsidR="00CB4C4F" w:rsidRPr="00CB4C4F" w:rsidRDefault="00453A73" w:rsidP="00453A73">
      <w:pPr>
        <w:spacing w:line="360" w:lineRule="auto"/>
        <w:ind w:left="426"/>
        <w:jc w:val="both"/>
        <w:rPr>
          <w:rFonts w:ascii="Arial" w:hAnsi="Arial" w:cs="Arial"/>
          <w:sz w:val="22"/>
          <w:szCs w:val="22"/>
        </w:rPr>
      </w:pPr>
      <w:r w:rsidRPr="00CB4C4F">
        <w:rPr>
          <w:rFonts w:ascii="Arial" w:hAnsi="Arial" w:cs="Arial"/>
          <w:sz w:val="22"/>
          <w:szCs w:val="22"/>
        </w:rPr>
        <w:t>Es cuanto informo en cumplimiento de lo dispuesto en el artículo 194 del Reglamento del Parlamento de Navarra.</w:t>
      </w:r>
    </w:p>
    <w:p w:rsidR="00CB4C4F" w:rsidRPr="00CB4C4F" w:rsidRDefault="00B60C30" w:rsidP="00B60C30">
      <w:pPr>
        <w:spacing w:line="360" w:lineRule="auto"/>
        <w:jc w:val="center"/>
        <w:rPr>
          <w:rFonts w:ascii="Arial" w:hAnsi="Arial" w:cs="Arial"/>
          <w:sz w:val="22"/>
          <w:szCs w:val="22"/>
        </w:rPr>
      </w:pPr>
      <w:r w:rsidRPr="00CB4C4F">
        <w:rPr>
          <w:rFonts w:ascii="Arial" w:hAnsi="Arial" w:cs="Arial"/>
          <w:sz w:val="22"/>
          <w:szCs w:val="22"/>
        </w:rPr>
        <w:t xml:space="preserve">Pamplona-Iruña, a </w:t>
      </w:r>
      <w:r w:rsidR="00E709AB" w:rsidRPr="00CB4C4F">
        <w:rPr>
          <w:rFonts w:ascii="Arial" w:hAnsi="Arial" w:cs="Arial"/>
          <w:sz w:val="22"/>
          <w:szCs w:val="22"/>
        </w:rPr>
        <w:t>7</w:t>
      </w:r>
      <w:r w:rsidRPr="00CB4C4F">
        <w:rPr>
          <w:rFonts w:ascii="Arial" w:hAnsi="Arial" w:cs="Arial"/>
          <w:sz w:val="22"/>
          <w:szCs w:val="22"/>
        </w:rPr>
        <w:t xml:space="preserve"> de </w:t>
      </w:r>
      <w:r w:rsidR="00B30B0D" w:rsidRPr="00CB4C4F">
        <w:rPr>
          <w:rFonts w:ascii="Arial" w:hAnsi="Arial" w:cs="Arial"/>
          <w:sz w:val="22"/>
          <w:szCs w:val="22"/>
        </w:rPr>
        <w:t>septiembre</w:t>
      </w:r>
      <w:r w:rsidRPr="00CB4C4F">
        <w:rPr>
          <w:rFonts w:ascii="Arial" w:hAnsi="Arial" w:cs="Arial"/>
          <w:sz w:val="22"/>
          <w:szCs w:val="22"/>
        </w:rPr>
        <w:t xml:space="preserve"> de 2020</w:t>
      </w:r>
    </w:p>
    <w:p w:rsidR="0039262A" w:rsidRPr="00CB4C4F" w:rsidRDefault="00CB4C4F" w:rsidP="00CB4C4F">
      <w:pPr>
        <w:spacing w:line="360" w:lineRule="auto"/>
        <w:jc w:val="center"/>
        <w:rPr>
          <w:rFonts w:ascii="Arial" w:hAnsi="Arial" w:cs="Arial"/>
          <w:sz w:val="22"/>
          <w:szCs w:val="22"/>
        </w:rPr>
      </w:pPr>
      <w:r w:rsidRPr="00CB4C4F">
        <w:rPr>
          <w:rFonts w:ascii="Arial" w:hAnsi="Arial" w:cs="Arial"/>
          <w:sz w:val="22"/>
          <w:szCs w:val="22"/>
        </w:rPr>
        <w:t xml:space="preserve">El Consejero de Cohesión Territorial: </w:t>
      </w:r>
      <w:r w:rsidR="00B60C30" w:rsidRPr="00CB4C4F">
        <w:rPr>
          <w:rFonts w:ascii="Arial" w:hAnsi="Arial" w:cs="Arial"/>
          <w:sz w:val="22"/>
          <w:szCs w:val="22"/>
        </w:rPr>
        <w:t xml:space="preserve">Bernardo </w:t>
      </w:r>
      <w:proofErr w:type="spellStart"/>
      <w:r w:rsidR="00B60C30" w:rsidRPr="00CB4C4F">
        <w:rPr>
          <w:rFonts w:ascii="Arial" w:hAnsi="Arial" w:cs="Arial"/>
          <w:sz w:val="22"/>
          <w:szCs w:val="22"/>
        </w:rPr>
        <w:t>Ciriza</w:t>
      </w:r>
      <w:proofErr w:type="spellEnd"/>
      <w:r w:rsidR="00B60C30" w:rsidRPr="00CB4C4F">
        <w:rPr>
          <w:rFonts w:ascii="Arial" w:hAnsi="Arial" w:cs="Arial"/>
          <w:sz w:val="22"/>
          <w:szCs w:val="22"/>
        </w:rPr>
        <w:t xml:space="preserve"> Pérez</w:t>
      </w:r>
    </w:p>
    <w:sectPr w:rsidR="0039262A" w:rsidRPr="00CB4C4F" w:rsidSect="00CB4C4F">
      <w:headerReference w:type="default" r:id="rId8"/>
      <w:footerReference w:type="default" r:id="rId9"/>
      <w:headerReference w:type="first" r:id="rId10"/>
      <w:footerReference w:type="first" r:id="rId11"/>
      <w:pgSz w:w="11906" w:h="16838" w:code="9"/>
      <w:pgMar w:top="1418" w:right="1418" w:bottom="709"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24" w:rsidRDefault="002A6A24">
      <w:r>
        <w:separator/>
      </w:r>
    </w:p>
  </w:endnote>
  <w:endnote w:type="continuationSeparator" w:id="0">
    <w:p w:rsidR="002A6A24" w:rsidRDefault="002A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7835E8">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24" w:rsidRDefault="002A6A24">
      <w:r>
        <w:separator/>
      </w:r>
    </w:p>
  </w:footnote>
  <w:footnote w:type="continuationSeparator" w:id="0">
    <w:p w:rsidR="002A6A24" w:rsidRDefault="002A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6017B8E8" wp14:editId="091D7766">
          <wp:simplePos x="0" y="0"/>
          <wp:positionH relativeFrom="page">
            <wp:align>left</wp:align>
          </wp:positionH>
          <wp:positionV relativeFrom="page">
            <wp:align>top</wp:align>
          </wp:positionV>
          <wp:extent cx="7569186" cy="1803058"/>
          <wp:effectExtent l="25400" t="0" r="14" b="0"/>
          <wp:wrapNone/>
          <wp:docPr id="20" name="Imagen 2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162"/>
    <w:multiLevelType w:val="hybridMultilevel"/>
    <w:tmpl w:val="8E5018AE"/>
    <w:lvl w:ilvl="0" w:tplc="ED068C36">
      <w:start w:val="1"/>
      <w:numFmt w:val="bullet"/>
      <w:lvlText w:val=""/>
      <w:lvlJc w:val="left"/>
      <w:pPr>
        <w:ind w:left="1146" w:hanging="360"/>
      </w:pPr>
      <w:rPr>
        <w:rFonts w:ascii="Wingdings" w:hAnsi="Wingdings"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397E63EF"/>
    <w:multiLevelType w:val="hybridMultilevel"/>
    <w:tmpl w:val="3AC270A6"/>
    <w:lvl w:ilvl="0" w:tplc="ED068C36">
      <w:start w:val="1"/>
      <w:numFmt w:val="bullet"/>
      <w:lvlText w:val=""/>
      <w:lvlJc w:val="left"/>
      <w:pPr>
        <w:ind w:left="1146" w:hanging="360"/>
      </w:pPr>
      <w:rPr>
        <w:rFonts w:ascii="Wingdings" w:hAnsi="Wingdings"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3">
    <w:nsid w:val="55F73D41"/>
    <w:multiLevelType w:val="hybridMultilevel"/>
    <w:tmpl w:val="3106170C"/>
    <w:lvl w:ilvl="0" w:tplc="ED068C36">
      <w:start w:val="1"/>
      <w:numFmt w:val="bullet"/>
      <w:lvlText w:val=""/>
      <w:lvlJc w:val="left"/>
      <w:pPr>
        <w:ind w:left="1146" w:hanging="360"/>
      </w:pPr>
      <w:rPr>
        <w:rFonts w:ascii="Wingdings" w:hAnsi="Wingdings"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56C6D"/>
    <w:rsid w:val="000729E0"/>
    <w:rsid w:val="0008748A"/>
    <w:rsid w:val="0009463A"/>
    <w:rsid w:val="000963A3"/>
    <w:rsid w:val="000B64A1"/>
    <w:rsid w:val="000D04F7"/>
    <w:rsid w:val="000F301B"/>
    <w:rsid w:val="00192C26"/>
    <w:rsid w:val="001D7D86"/>
    <w:rsid w:val="0020264B"/>
    <w:rsid w:val="002168BE"/>
    <w:rsid w:val="0023497D"/>
    <w:rsid w:val="00272573"/>
    <w:rsid w:val="00277C9A"/>
    <w:rsid w:val="00291E79"/>
    <w:rsid w:val="002A6A24"/>
    <w:rsid w:val="002C5CF9"/>
    <w:rsid w:val="00304F58"/>
    <w:rsid w:val="00355B58"/>
    <w:rsid w:val="00376269"/>
    <w:rsid w:val="0039262A"/>
    <w:rsid w:val="0039690D"/>
    <w:rsid w:val="003F1206"/>
    <w:rsid w:val="004031A8"/>
    <w:rsid w:val="00417186"/>
    <w:rsid w:val="00423C29"/>
    <w:rsid w:val="00426486"/>
    <w:rsid w:val="00442615"/>
    <w:rsid w:val="00453A73"/>
    <w:rsid w:val="004B53C2"/>
    <w:rsid w:val="004C58DB"/>
    <w:rsid w:val="004F4088"/>
    <w:rsid w:val="00524782"/>
    <w:rsid w:val="005367EB"/>
    <w:rsid w:val="00560A6B"/>
    <w:rsid w:val="00597336"/>
    <w:rsid w:val="005B095B"/>
    <w:rsid w:val="00610AAA"/>
    <w:rsid w:val="006764C1"/>
    <w:rsid w:val="00696F6F"/>
    <w:rsid w:val="006A22CB"/>
    <w:rsid w:val="006A5952"/>
    <w:rsid w:val="00710A53"/>
    <w:rsid w:val="0072622D"/>
    <w:rsid w:val="00780CA4"/>
    <w:rsid w:val="007835E8"/>
    <w:rsid w:val="00793F61"/>
    <w:rsid w:val="007B31B4"/>
    <w:rsid w:val="007E49C1"/>
    <w:rsid w:val="007E640E"/>
    <w:rsid w:val="007E69EC"/>
    <w:rsid w:val="00832136"/>
    <w:rsid w:val="00850902"/>
    <w:rsid w:val="00883154"/>
    <w:rsid w:val="008B621E"/>
    <w:rsid w:val="008B62B9"/>
    <w:rsid w:val="009226EF"/>
    <w:rsid w:val="009273D2"/>
    <w:rsid w:val="009603A5"/>
    <w:rsid w:val="00994342"/>
    <w:rsid w:val="009D73FA"/>
    <w:rsid w:val="009E202F"/>
    <w:rsid w:val="009E381E"/>
    <w:rsid w:val="00A02C59"/>
    <w:rsid w:val="00A117E7"/>
    <w:rsid w:val="00A2145B"/>
    <w:rsid w:val="00A71ED2"/>
    <w:rsid w:val="00AC00D4"/>
    <w:rsid w:val="00AC4069"/>
    <w:rsid w:val="00AD0D45"/>
    <w:rsid w:val="00B053EE"/>
    <w:rsid w:val="00B17CCC"/>
    <w:rsid w:val="00B30B0D"/>
    <w:rsid w:val="00B46857"/>
    <w:rsid w:val="00B60C30"/>
    <w:rsid w:val="00BD6A02"/>
    <w:rsid w:val="00C7645D"/>
    <w:rsid w:val="00CA2943"/>
    <w:rsid w:val="00CB4C4F"/>
    <w:rsid w:val="00CC186C"/>
    <w:rsid w:val="00CC44C6"/>
    <w:rsid w:val="00D27CE0"/>
    <w:rsid w:val="00D6726D"/>
    <w:rsid w:val="00DA6D6E"/>
    <w:rsid w:val="00DB144D"/>
    <w:rsid w:val="00DB3E41"/>
    <w:rsid w:val="00DD19DF"/>
    <w:rsid w:val="00DF6784"/>
    <w:rsid w:val="00E21BF7"/>
    <w:rsid w:val="00E43CED"/>
    <w:rsid w:val="00E709AB"/>
    <w:rsid w:val="00E80C19"/>
    <w:rsid w:val="00E9578F"/>
    <w:rsid w:val="00EA1306"/>
    <w:rsid w:val="00ED5CA9"/>
    <w:rsid w:val="00F323EB"/>
    <w:rsid w:val="00F75878"/>
    <w:rsid w:val="00FA28DC"/>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8B62B9"/>
    <w:rPr>
      <w:color w:val="0000FF" w:themeColor="hyperlink"/>
      <w:u w:val="single"/>
    </w:rPr>
  </w:style>
  <w:style w:type="paragraph" w:styleId="Prrafodelista">
    <w:name w:val="List Paragraph"/>
    <w:basedOn w:val="Normal"/>
    <w:uiPriority w:val="34"/>
    <w:qFormat/>
    <w:rsid w:val="000963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8B62B9"/>
    <w:rPr>
      <w:color w:val="0000FF" w:themeColor="hyperlink"/>
      <w:u w:val="single"/>
    </w:rPr>
  </w:style>
  <w:style w:type="paragraph" w:styleId="Prrafodelista">
    <w:name w:val="List Paragraph"/>
    <w:basedOn w:val="Normal"/>
    <w:uiPriority w:val="34"/>
    <w:qFormat/>
    <w:rsid w:val="0009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3268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5</cp:revision>
  <cp:lastPrinted>2020-09-07T10:34:00Z</cp:lastPrinted>
  <dcterms:created xsi:type="dcterms:W3CDTF">2020-09-07T19:19:00Z</dcterms:created>
  <dcterms:modified xsi:type="dcterms:W3CDTF">2020-10-14T06:03:00Z</dcterms:modified>
</cp:coreProperties>
</file>