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4F" w:rsidRPr="00CB4C4F" w:rsidRDefault="00CB4C4F" w:rsidP="00CB4C4F">
      <w:pPr>
        <w:rPr>
          <w:rFonts w:ascii="Arial" w:hAnsi="Arial" w:cs="Arial"/>
          <w:sz w:val="22"/>
          <w:szCs w:val="22"/>
        </w:rPr>
      </w:pPr>
      <w:r>
        <w:rPr>
          <w:rFonts w:ascii="Arial" w:hAnsi="Arial"/>
          <w:sz w:val="22"/>
          <w:szCs w:val="22"/>
        </w:rPr>
        <w:t>Irailak 9</w:t>
      </w:r>
    </w:p>
    <w:p w:rsidR="00CB4C4F" w:rsidRPr="00CB4C4F" w:rsidRDefault="00AC00D4" w:rsidP="00D6726D">
      <w:pPr>
        <w:spacing w:line="360" w:lineRule="auto"/>
        <w:ind w:left="426"/>
        <w:jc w:val="both"/>
        <w:rPr>
          <w:rFonts w:ascii="Arial" w:hAnsi="Arial" w:cs="Arial"/>
          <w:sz w:val="22"/>
          <w:szCs w:val="22"/>
        </w:rPr>
      </w:pPr>
      <w:r>
        <w:rPr>
          <w:rFonts w:ascii="Arial" w:hAnsi="Arial"/>
          <w:sz w:val="22"/>
          <w:szCs w:val="22"/>
        </w:rPr>
        <w:t xml:space="preserve">Navarra Suma talde parlamentarioari atxikitako foru parlamentari Yolanda </w:t>
      </w:r>
      <w:proofErr w:type="spellStart"/>
      <w:r>
        <w:rPr>
          <w:rFonts w:ascii="Arial" w:hAnsi="Arial"/>
          <w:sz w:val="22"/>
          <w:szCs w:val="22"/>
        </w:rPr>
        <w:t>Ibáñez</w:t>
      </w:r>
      <w:proofErr w:type="spellEnd"/>
      <w:r>
        <w:rPr>
          <w:rFonts w:ascii="Arial" w:hAnsi="Arial"/>
          <w:sz w:val="22"/>
          <w:szCs w:val="22"/>
        </w:rPr>
        <w:t xml:space="preserve"> Pérez andreak galdera egin du, idatziz erantzun dakion, jakiteko zer egoeratan geratu diren inbertsio finantzarioki jasangarriak bukatu ez zituzten udalak (10-19/PES-00156). Hona hemen Nafarroako Gobernuko Lurralde Kohesiorako kontseilariak ematen duen informazioa: urriaren 10eko 19/2018 Foru Legearen bide, Inbertsio Finantzarioki Jasangarriei buruzko Plana onetsi zen. Foru lege horren bigarren xedapen gehigarriak araubide berezia ezartzen du II. eranskinean agertzen diren inbertsioetarako.</w:t>
      </w:r>
    </w:p>
    <w:p w:rsidR="00CB4C4F" w:rsidRPr="00CB4C4F" w:rsidRDefault="00D6726D" w:rsidP="00D6726D">
      <w:pPr>
        <w:spacing w:line="360" w:lineRule="auto"/>
        <w:ind w:left="426"/>
        <w:jc w:val="both"/>
        <w:rPr>
          <w:rFonts w:ascii="Arial" w:hAnsi="Arial" w:cs="Arial"/>
          <w:sz w:val="22"/>
          <w:szCs w:val="22"/>
        </w:rPr>
      </w:pPr>
      <w:r>
        <w:rPr>
          <w:rFonts w:ascii="Arial" w:hAnsi="Arial"/>
          <w:sz w:val="22"/>
          <w:szCs w:val="22"/>
        </w:rPr>
        <w:t>Bigarren xedapen gehigarriaren 2. apartatuko j) letraren arabera, obra-amaieraren justifikazioa aurkezteko muga-eguna 2019ko abenduaren 1a da.</w:t>
      </w:r>
    </w:p>
    <w:p w:rsidR="00D6726D" w:rsidRPr="00CB4C4F" w:rsidRDefault="00D6726D" w:rsidP="00D6726D">
      <w:pPr>
        <w:spacing w:line="360" w:lineRule="auto"/>
        <w:ind w:left="426"/>
        <w:jc w:val="both"/>
        <w:rPr>
          <w:rFonts w:ascii="Arial" w:hAnsi="Arial" w:cs="Arial"/>
          <w:sz w:val="22"/>
          <w:szCs w:val="22"/>
        </w:rPr>
      </w:pPr>
      <w:r>
        <w:rPr>
          <w:rFonts w:ascii="Arial" w:hAnsi="Arial"/>
          <w:sz w:val="22"/>
          <w:szCs w:val="22"/>
        </w:rPr>
        <w:t>Bigarren xedapen gehigarriak berak ezartzen duenez, obrak ezarritako epetik kanpo amaitzen badira, zerbitzu tekniko eskudunek ikuskatuko dute behar bezala justifikatutako obra edo obra zatia, aurreikusitako erabilera publikorako erabil daitekeen edo ez zehazteko. Baiezkoan, zerbitzu horren iritziz frogatuta dagoen kostu zatiari dagokion diru-ekarpena ordainduko da. Aurreikusitako erabilera publikorako baliatua izateko moduan ez badago, jasotako diru-kopuruak itzultzeko espediente egokia izapidetuko da.</w:t>
      </w:r>
    </w:p>
    <w:p w:rsidR="00CB4C4F" w:rsidRPr="00CB4C4F" w:rsidRDefault="00D6726D" w:rsidP="00D6726D">
      <w:pPr>
        <w:spacing w:line="360" w:lineRule="auto"/>
        <w:ind w:left="426"/>
        <w:jc w:val="both"/>
        <w:rPr>
          <w:rFonts w:ascii="Arial" w:hAnsi="Arial" w:cs="Arial"/>
          <w:sz w:val="22"/>
          <w:szCs w:val="22"/>
        </w:rPr>
      </w:pPr>
      <w:r>
        <w:rPr>
          <w:rFonts w:ascii="Arial" w:hAnsi="Arial"/>
          <w:sz w:val="22"/>
          <w:szCs w:val="22"/>
        </w:rPr>
        <w:t>Foru legeak ez du jasotzen dokumentazioa aurkezteko epea luzatzeko aukerarik; beraz, adierazitako egunaren ondoren aurkezten diren amaierako ordainketarako eskaera guztiak baztertu behar dira.</w:t>
      </w:r>
    </w:p>
    <w:p w:rsidR="00CB4C4F" w:rsidRPr="00CB4C4F" w:rsidRDefault="00D6726D" w:rsidP="00D6726D">
      <w:pPr>
        <w:spacing w:line="360" w:lineRule="auto"/>
        <w:ind w:left="426"/>
        <w:jc w:val="both"/>
        <w:rPr>
          <w:rFonts w:ascii="Arial" w:hAnsi="Arial" w:cs="Arial"/>
          <w:sz w:val="22"/>
          <w:szCs w:val="22"/>
        </w:rPr>
      </w:pPr>
      <w:r>
        <w:rPr>
          <w:rFonts w:ascii="Arial" w:hAnsi="Arial"/>
          <w:sz w:val="22"/>
          <w:szCs w:val="22"/>
        </w:rPr>
        <w:t>Bigarren xedapen gehigarriaren arabera, erabilera publikorako izan daitezkeen obrei edo obra zatiei dagozkien diru-ekarpenak ordainduko dira, betiere epean igorri bada obra-amaierako dokumentazioa.</w:t>
      </w:r>
    </w:p>
    <w:p w:rsidR="00CB4C4F" w:rsidRPr="00CB4C4F" w:rsidRDefault="00D6726D" w:rsidP="00D6726D">
      <w:pPr>
        <w:spacing w:line="360" w:lineRule="auto"/>
        <w:ind w:left="426"/>
        <w:jc w:val="both"/>
        <w:rPr>
          <w:rFonts w:ascii="Arial" w:hAnsi="Arial" w:cs="Arial"/>
          <w:sz w:val="22"/>
          <w:szCs w:val="22"/>
        </w:rPr>
      </w:pPr>
      <w:r>
        <w:rPr>
          <w:rFonts w:ascii="Arial" w:hAnsi="Arial"/>
          <w:sz w:val="22"/>
          <w:szCs w:val="22"/>
        </w:rPr>
        <w:t xml:space="preserve">Cabanillas, </w:t>
      </w:r>
      <w:proofErr w:type="spellStart"/>
      <w:r>
        <w:rPr>
          <w:rFonts w:ascii="Arial" w:hAnsi="Arial"/>
          <w:sz w:val="22"/>
          <w:szCs w:val="22"/>
        </w:rPr>
        <w:t>Martzilla</w:t>
      </w:r>
      <w:proofErr w:type="spellEnd"/>
      <w:r>
        <w:rPr>
          <w:rFonts w:ascii="Arial" w:hAnsi="Arial"/>
          <w:sz w:val="22"/>
          <w:szCs w:val="22"/>
        </w:rPr>
        <w:t xml:space="preserve"> eta Alesbesko udalek honako espediente hauek zituzten Inbertsio Finantzarioki Jasangarriei buruzko Planean sartuak:</w:t>
      </w:r>
    </w:p>
    <w:p w:rsidR="000963A3" w:rsidRPr="00CB4C4F" w:rsidRDefault="000963A3" w:rsidP="000963A3">
      <w:pPr>
        <w:spacing w:line="360" w:lineRule="auto"/>
        <w:ind w:left="426"/>
        <w:jc w:val="both"/>
        <w:rPr>
          <w:rFonts w:ascii="Arial" w:hAnsi="Arial" w:cs="Arial"/>
          <w:sz w:val="22"/>
          <w:szCs w:val="22"/>
        </w:rPr>
      </w:pPr>
      <w:r>
        <w:rPr>
          <w:rFonts w:ascii="Arial" w:hAnsi="Arial"/>
          <w:sz w:val="22"/>
          <w:szCs w:val="22"/>
        </w:rPr>
        <w:t>Cabanillas:</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Pr>
          <w:rFonts w:ascii="Arial" w:hAnsi="Arial"/>
          <w:sz w:val="22"/>
          <w:szCs w:val="22"/>
        </w:rPr>
        <w:t>02061-IFS-19. Hornidurarako, saneamendurako eta euri-uretarako sareak zenbait kaletan</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Pr>
          <w:rFonts w:ascii="Arial" w:hAnsi="Arial"/>
          <w:sz w:val="22"/>
          <w:szCs w:val="22"/>
        </w:rPr>
        <w:t>30014-IFS-19. Kirol instalazioetako sarbideak eta komunak EKTren arabera egokitzea</w:t>
      </w:r>
    </w:p>
    <w:p w:rsidR="000963A3" w:rsidRPr="00CB4C4F" w:rsidRDefault="000963A3" w:rsidP="000963A3">
      <w:pPr>
        <w:pStyle w:val="Prrafodelista"/>
        <w:numPr>
          <w:ilvl w:val="0"/>
          <w:numId w:val="3"/>
        </w:numPr>
        <w:spacing w:line="360" w:lineRule="auto"/>
        <w:ind w:left="709"/>
        <w:jc w:val="both"/>
        <w:rPr>
          <w:rFonts w:ascii="Arial" w:hAnsi="Arial" w:cs="Arial"/>
          <w:sz w:val="22"/>
          <w:szCs w:val="22"/>
        </w:rPr>
      </w:pPr>
      <w:r>
        <w:rPr>
          <w:rFonts w:ascii="Arial" w:hAnsi="Arial"/>
          <w:sz w:val="22"/>
          <w:szCs w:val="22"/>
        </w:rPr>
        <w:t>51042-IFS-19. Kaleetako zoladura</w:t>
      </w:r>
    </w:p>
    <w:p w:rsidR="00CB4C4F" w:rsidRPr="00CB4C4F" w:rsidRDefault="000963A3" w:rsidP="000963A3">
      <w:pPr>
        <w:pStyle w:val="Prrafodelista"/>
        <w:numPr>
          <w:ilvl w:val="0"/>
          <w:numId w:val="3"/>
        </w:numPr>
        <w:spacing w:line="360" w:lineRule="auto"/>
        <w:ind w:left="709"/>
        <w:jc w:val="both"/>
        <w:rPr>
          <w:rFonts w:ascii="Arial" w:hAnsi="Arial" w:cs="Arial"/>
          <w:sz w:val="22"/>
          <w:szCs w:val="22"/>
        </w:rPr>
      </w:pPr>
      <w:r>
        <w:rPr>
          <w:rFonts w:ascii="Arial" w:hAnsi="Arial"/>
          <w:sz w:val="22"/>
          <w:szCs w:val="22"/>
        </w:rPr>
        <w:t xml:space="preserve">52021-IFS-19. Fragua, Las Eras, Juan XXIII (zati bat) eta </w:t>
      </w:r>
      <w:proofErr w:type="spellStart"/>
      <w:r>
        <w:rPr>
          <w:rFonts w:ascii="Arial" w:hAnsi="Arial"/>
          <w:sz w:val="22"/>
          <w:szCs w:val="22"/>
        </w:rPr>
        <w:t>Canal</w:t>
      </w:r>
      <w:proofErr w:type="spellEnd"/>
      <w:r>
        <w:rPr>
          <w:rFonts w:ascii="Arial" w:hAnsi="Arial"/>
          <w:sz w:val="22"/>
          <w:szCs w:val="22"/>
        </w:rPr>
        <w:t xml:space="preserve"> A kaleak zolatzea</w:t>
      </w:r>
    </w:p>
    <w:p w:rsidR="000963A3" w:rsidRPr="00CB4C4F" w:rsidRDefault="000963A3" w:rsidP="000963A3">
      <w:pPr>
        <w:spacing w:line="360" w:lineRule="auto"/>
        <w:ind w:left="426"/>
        <w:jc w:val="both"/>
        <w:rPr>
          <w:rFonts w:ascii="Arial" w:hAnsi="Arial" w:cs="Arial"/>
          <w:sz w:val="22"/>
          <w:szCs w:val="22"/>
        </w:rPr>
      </w:pPr>
      <w:proofErr w:type="spellStart"/>
      <w:r>
        <w:rPr>
          <w:rFonts w:ascii="Arial" w:hAnsi="Arial"/>
          <w:sz w:val="22"/>
          <w:szCs w:val="22"/>
        </w:rPr>
        <w:t>Martzilla</w:t>
      </w:r>
      <w:proofErr w:type="spellEnd"/>
      <w:r>
        <w:rPr>
          <w:rFonts w:ascii="Arial" w:hAnsi="Arial"/>
          <w:sz w:val="22"/>
          <w:szCs w:val="22"/>
        </w:rPr>
        <w:t>:</w:t>
      </w:r>
    </w:p>
    <w:p w:rsidR="000963A3" w:rsidRPr="00CB4C4F" w:rsidRDefault="000963A3" w:rsidP="000963A3">
      <w:pPr>
        <w:pStyle w:val="Prrafodelista"/>
        <w:numPr>
          <w:ilvl w:val="0"/>
          <w:numId w:val="4"/>
        </w:numPr>
        <w:spacing w:line="360" w:lineRule="auto"/>
        <w:ind w:left="709"/>
        <w:jc w:val="both"/>
        <w:rPr>
          <w:rFonts w:ascii="Arial" w:hAnsi="Arial" w:cs="Arial"/>
          <w:sz w:val="22"/>
          <w:szCs w:val="22"/>
        </w:rPr>
      </w:pPr>
      <w:r>
        <w:rPr>
          <w:rFonts w:ascii="Arial" w:hAnsi="Arial"/>
          <w:sz w:val="22"/>
          <w:szCs w:val="22"/>
        </w:rPr>
        <w:t xml:space="preserve">02061-IFS-19. Kale Berria, San Ezequiel Moreno, </w:t>
      </w:r>
      <w:proofErr w:type="spellStart"/>
      <w:r>
        <w:rPr>
          <w:rFonts w:ascii="Arial" w:hAnsi="Arial"/>
          <w:sz w:val="22"/>
          <w:szCs w:val="22"/>
        </w:rPr>
        <w:t>Urmeneta</w:t>
      </w:r>
      <w:proofErr w:type="spellEnd"/>
      <w:r>
        <w:rPr>
          <w:rFonts w:ascii="Arial" w:hAnsi="Arial"/>
          <w:sz w:val="22"/>
          <w:szCs w:val="22"/>
        </w:rPr>
        <w:t xml:space="preserve"> eta </w:t>
      </w:r>
      <w:proofErr w:type="spellStart"/>
      <w:r>
        <w:rPr>
          <w:rFonts w:ascii="Arial" w:hAnsi="Arial"/>
          <w:sz w:val="22"/>
          <w:szCs w:val="22"/>
        </w:rPr>
        <w:t>El</w:t>
      </w:r>
      <w:proofErr w:type="spellEnd"/>
      <w:r>
        <w:rPr>
          <w:rFonts w:ascii="Arial" w:hAnsi="Arial"/>
          <w:sz w:val="22"/>
          <w:szCs w:val="22"/>
        </w:rPr>
        <w:t xml:space="preserve"> Puente kaleetako hornidurarako, saneamendurako eta euri-uretarako sareak</w:t>
      </w:r>
    </w:p>
    <w:p w:rsidR="000963A3" w:rsidRPr="00CB4C4F" w:rsidRDefault="000963A3" w:rsidP="000963A3">
      <w:pPr>
        <w:pStyle w:val="Prrafodelista"/>
        <w:numPr>
          <w:ilvl w:val="0"/>
          <w:numId w:val="4"/>
        </w:numPr>
        <w:spacing w:line="360" w:lineRule="auto"/>
        <w:ind w:left="709"/>
        <w:jc w:val="both"/>
        <w:rPr>
          <w:rFonts w:ascii="Arial" w:hAnsi="Arial" w:cs="Arial"/>
          <w:sz w:val="22"/>
          <w:szCs w:val="22"/>
        </w:rPr>
      </w:pPr>
      <w:r>
        <w:rPr>
          <w:rFonts w:ascii="Arial" w:hAnsi="Arial"/>
          <w:sz w:val="22"/>
          <w:szCs w:val="22"/>
        </w:rPr>
        <w:t>30014-IFS-19. Argiteria publikoa berritzea</w:t>
      </w:r>
    </w:p>
    <w:p w:rsidR="00CB4C4F" w:rsidRPr="00CB4C4F" w:rsidRDefault="000963A3" w:rsidP="000963A3">
      <w:pPr>
        <w:pStyle w:val="Prrafodelista"/>
        <w:numPr>
          <w:ilvl w:val="0"/>
          <w:numId w:val="4"/>
        </w:numPr>
        <w:spacing w:line="360" w:lineRule="auto"/>
        <w:ind w:left="709"/>
        <w:jc w:val="both"/>
        <w:rPr>
          <w:rFonts w:ascii="Arial" w:hAnsi="Arial" w:cs="Arial"/>
          <w:sz w:val="22"/>
          <w:szCs w:val="22"/>
        </w:rPr>
      </w:pPr>
      <w:r>
        <w:rPr>
          <w:rFonts w:ascii="Arial" w:hAnsi="Arial"/>
          <w:sz w:val="22"/>
          <w:szCs w:val="22"/>
        </w:rPr>
        <w:t xml:space="preserve">51042-IFS-19. Kale Berria eta San Ezequiel Moreno, </w:t>
      </w:r>
      <w:proofErr w:type="spellStart"/>
      <w:r>
        <w:rPr>
          <w:rFonts w:ascii="Arial" w:hAnsi="Arial"/>
          <w:sz w:val="22"/>
          <w:szCs w:val="22"/>
        </w:rPr>
        <w:t>Urmeneta</w:t>
      </w:r>
      <w:proofErr w:type="spellEnd"/>
      <w:r>
        <w:rPr>
          <w:rFonts w:ascii="Arial" w:hAnsi="Arial"/>
          <w:sz w:val="22"/>
          <w:szCs w:val="22"/>
        </w:rPr>
        <w:t xml:space="preserve"> eta </w:t>
      </w:r>
      <w:proofErr w:type="spellStart"/>
      <w:r>
        <w:rPr>
          <w:rFonts w:ascii="Arial" w:hAnsi="Arial"/>
          <w:sz w:val="22"/>
          <w:szCs w:val="22"/>
        </w:rPr>
        <w:t>El</w:t>
      </w:r>
      <w:proofErr w:type="spellEnd"/>
      <w:r>
        <w:rPr>
          <w:rFonts w:ascii="Arial" w:hAnsi="Arial"/>
          <w:sz w:val="22"/>
          <w:szCs w:val="22"/>
        </w:rPr>
        <w:t xml:space="preserve"> Puente kaleak zolatzea</w:t>
      </w:r>
    </w:p>
    <w:p w:rsidR="000963A3" w:rsidRPr="00CB4C4F" w:rsidRDefault="000963A3" w:rsidP="000963A3">
      <w:pPr>
        <w:spacing w:line="360" w:lineRule="auto"/>
        <w:ind w:left="426"/>
        <w:jc w:val="both"/>
        <w:rPr>
          <w:rFonts w:ascii="Arial" w:hAnsi="Arial" w:cs="Arial"/>
          <w:sz w:val="22"/>
          <w:szCs w:val="22"/>
        </w:rPr>
      </w:pPr>
      <w:r>
        <w:rPr>
          <w:rFonts w:ascii="Arial" w:hAnsi="Arial"/>
          <w:sz w:val="22"/>
          <w:szCs w:val="22"/>
        </w:rPr>
        <w:lastRenderedPageBreak/>
        <w:t>Alesbes:</w:t>
      </w:r>
    </w:p>
    <w:p w:rsidR="00CB4C4F" w:rsidRPr="00CB4C4F" w:rsidRDefault="000963A3" w:rsidP="000963A3">
      <w:pPr>
        <w:pStyle w:val="Prrafodelista"/>
        <w:numPr>
          <w:ilvl w:val="0"/>
          <w:numId w:val="5"/>
        </w:numPr>
        <w:spacing w:line="360" w:lineRule="auto"/>
        <w:ind w:left="709"/>
        <w:jc w:val="both"/>
        <w:rPr>
          <w:rFonts w:ascii="Arial" w:hAnsi="Arial" w:cs="Arial"/>
          <w:sz w:val="22"/>
          <w:szCs w:val="22"/>
        </w:rPr>
      </w:pPr>
      <w:r>
        <w:rPr>
          <w:rFonts w:ascii="Arial" w:hAnsi="Arial"/>
          <w:sz w:val="22"/>
          <w:szCs w:val="22"/>
        </w:rPr>
        <w:t xml:space="preserve">02015-IFS-19. </w:t>
      </w:r>
      <w:proofErr w:type="spellStart"/>
      <w:r>
        <w:rPr>
          <w:rFonts w:ascii="Arial" w:hAnsi="Arial"/>
          <w:sz w:val="22"/>
          <w:szCs w:val="22"/>
        </w:rPr>
        <w:t>Crucero</w:t>
      </w:r>
      <w:proofErr w:type="spellEnd"/>
      <w:r>
        <w:rPr>
          <w:rFonts w:ascii="Arial" w:hAnsi="Arial"/>
          <w:sz w:val="22"/>
          <w:szCs w:val="22"/>
        </w:rPr>
        <w:t xml:space="preserve"> </w:t>
      </w:r>
      <w:proofErr w:type="spellStart"/>
      <w:r>
        <w:rPr>
          <w:rFonts w:ascii="Arial" w:hAnsi="Arial"/>
          <w:sz w:val="22"/>
          <w:szCs w:val="22"/>
        </w:rPr>
        <w:t>Portal</w:t>
      </w:r>
      <w:proofErr w:type="spellEnd"/>
      <w:r>
        <w:rPr>
          <w:rFonts w:ascii="Arial" w:hAnsi="Arial"/>
          <w:sz w:val="22"/>
          <w:szCs w:val="22"/>
        </w:rPr>
        <w:t xml:space="preserve">, Virgen del </w:t>
      </w:r>
      <w:proofErr w:type="spellStart"/>
      <w:r>
        <w:rPr>
          <w:rFonts w:ascii="Arial" w:hAnsi="Arial"/>
          <w:sz w:val="22"/>
          <w:szCs w:val="22"/>
        </w:rPr>
        <w:t>Portal</w:t>
      </w:r>
      <w:proofErr w:type="spellEnd"/>
      <w:r>
        <w:rPr>
          <w:rFonts w:ascii="Arial" w:hAnsi="Arial"/>
          <w:sz w:val="22"/>
          <w:szCs w:val="22"/>
        </w:rPr>
        <w:t xml:space="preserve"> eta </w:t>
      </w:r>
      <w:proofErr w:type="spellStart"/>
      <w:r>
        <w:rPr>
          <w:rFonts w:ascii="Arial" w:hAnsi="Arial"/>
          <w:sz w:val="22"/>
          <w:szCs w:val="22"/>
        </w:rPr>
        <w:t>Los</w:t>
      </w:r>
      <w:proofErr w:type="spellEnd"/>
      <w:r>
        <w:rPr>
          <w:rFonts w:ascii="Arial" w:hAnsi="Arial"/>
          <w:sz w:val="22"/>
          <w:szCs w:val="22"/>
        </w:rPr>
        <w:t xml:space="preserve"> </w:t>
      </w:r>
      <w:proofErr w:type="spellStart"/>
      <w:r>
        <w:rPr>
          <w:rFonts w:ascii="Arial" w:hAnsi="Arial"/>
          <w:sz w:val="22"/>
          <w:szCs w:val="22"/>
        </w:rPr>
        <w:t>Muchos</w:t>
      </w:r>
      <w:proofErr w:type="spellEnd"/>
      <w:r>
        <w:rPr>
          <w:rFonts w:ascii="Arial" w:hAnsi="Arial"/>
          <w:sz w:val="22"/>
          <w:szCs w:val="22"/>
        </w:rPr>
        <w:t xml:space="preserve"> kaleetako eta Pasealekuko hornidurarako, saneamendurako eta euri-uretarako sareak</w:t>
      </w:r>
    </w:p>
    <w:p w:rsidR="000963A3" w:rsidRPr="00CB4C4F" w:rsidRDefault="000963A3" w:rsidP="000963A3">
      <w:pPr>
        <w:pStyle w:val="Prrafodelista"/>
        <w:numPr>
          <w:ilvl w:val="0"/>
          <w:numId w:val="5"/>
        </w:numPr>
        <w:spacing w:line="360" w:lineRule="auto"/>
        <w:ind w:left="709"/>
        <w:jc w:val="both"/>
        <w:rPr>
          <w:rFonts w:ascii="Arial" w:hAnsi="Arial" w:cs="Arial"/>
          <w:sz w:val="22"/>
          <w:szCs w:val="22"/>
        </w:rPr>
      </w:pPr>
      <w:r>
        <w:rPr>
          <w:rFonts w:ascii="Arial" w:hAnsi="Arial"/>
          <w:sz w:val="22"/>
          <w:szCs w:val="22"/>
        </w:rPr>
        <w:t xml:space="preserve">04073-IFS-19. </w:t>
      </w:r>
      <w:proofErr w:type="spellStart"/>
      <w:r>
        <w:rPr>
          <w:rFonts w:ascii="Arial" w:hAnsi="Arial"/>
          <w:sz w:val="22"/>
          <w:szCs w:val="22"/>
        </w:rPr>
        <w:t>Herriguneko</w:t>
      </w:r>
      <w:proofErr w:type="spellEnd"/>
      <w:r>
        <w:rPr>
          <w:rFonts w:ascii="Arial" w:hAnsi="Arial"/>
          <w:sz w:val="22"/>
          <w:szCs w:val="22"/>
        </w:rPr>
        <w:t xml:space="preserve"> argiteria publikoa berritzea</w:t>
      </w:r>
    </w:p>
    <w:p w:rsidR="00CB4C4F" w:rsidRPr="00CB4C4F" w:rsidRDefault="000963A3" w:rsidP="000963A3">
      <w:pPr>
        <w:pStyle w:val="Prrafodelista"/>
        <w:numPr>
          <w:ilvl w:val="0"/>
          <w:numId w:val="5"/>
        </w:numPr>
        <w:spacing w:line="360" w:lineRule="auto"/>
        <w:ind w:left="709"/>
        <w:jc w:val="both"/>
        <w:rPr>
          <w:rFonts w:ascii="Arial" w:hAnsi="Arial" w:cs="Arial"/>
          <w:sz w:val="22"/>
          <w:szCs w:val="22"/>
        </w:rPr>
      </w:pPr>
      <w:r>
        <w:rPr>
          <w:rFonts w:ascii="Arial" w:hAnsi="Arial"/>
          <w:sz w:val="22"/>
          <w:szCs w:val="22"/>
        </w:rPr>
        <w:t xml:space="preserve">51011-IFS-19. </w:t>
      </w:r>
      <w:proofErr w:type="spellStart"/>
      <w:r>
        <w:rPr>
          <w:rFonts w:ascii="Arial" w:hAnsi="Arial"/>
          <w:sz w:val="22"/>
          <w:szCs w:val="22"/>
        </w:rPr>
        <w:t>Crucero</w:t>
      </w:r>
      <w:proofErr w:type="spellEnd"/>
      <w:r>
        <w:rPr>
          <w:rFonts w:ascii="Arial" w:hAnsi="Arial"/>
          <w:sz w:val="22"/>
          <w:szCs w:val="22"/>
        </w:rPr>
        <w:t xml:space="preserve"> </w:t>
      </w:r>
      <w:proofErr w:type="spellStart"/>
      <w:r>
        <w:rPr>
          <w:rFonts w:ascii="Arial" w:hAnsi="Arial"/>
          <w:sz w:val="22"/>
          <w:szCs w:val="22"/>
        </w:rPr>
        <w:t>Portal</w:t>
      </w:r>
      <w:proofErr w:type="spellEnd"/>
      <w:r>
        <w:rPr>
          <w:rFonts w:ascii="Arial" w:hAnsi="Arial"/>
          <w:sz w:val="22"/>
          <w:szCs w:val="22"/>
        </w:rPr>
        <w:t xml:space="preserve">, Virgen del </w:t>
      </w:r>
      <w:proofErr w:type="spellStart"/>
      <w:r>
        <w:rPr>
          <w:rFonts w:ascii="Arial" w:hAnsi="Arial"/>
          <w:sz w:val="22"/>
          <w:szCs w:val="22"/>
        </w:rPr>
        <w:t>Portal</w:t>
      </w:r>
      <w:proofErr w:type="spellEnd"/>
      <w:r>
        <w:rPr>
          <w:rFonts w:ascii="Arial" w:hAnsi="Arial"/>
          <w:sz w:val="22"/>
          <w:szCs w:val="22"/>
        </w:rPr>
        <w:t xml:space="preserve"> eta </w:t>
      </w:r>
      <w:proofErr w:type="spellStart"/>
      <w:r>
        <w:rPr>
          <w:rFonts w:ascii="Arial" w:hAnsi="Arial"/>
          <w:sz w:val="22"/>
          <w:szCs w:val="22"/>
        </w:rPr>
        <w:t>Los</w:t>
      </w:r>
      <w:proofErr w:type="spellEnd"/>
      <w:r>
        <w:rPr>
          <w:rFonts w:ascii="Arial" w:hAnsi="Arial"/>
          <w:sz w:val="22"/>
          <w:szCs w:val="22"/>
        </w:rPr>
        <w:t xml:space="preserve"> </w:t>
      </w:r>
      <w:proofErr w:type="spellStart"/>
      <w:r>
        <w:rPr>
          <w:rFonts w:ascii="Arial" w:hAnsi="Arial"/>
          <w:sz w:val="22"/>
          <w:szCs w:val="22"/>
        </w:rPr>
        <w:t>Muchos</w:t>
      </w:r>
      <w:proofErr w:type="spellEnd"/>
      <w:r>
        <w:rPr>
          <w:rFonts w:ascii="Arial" w:hAnsi="Arial"/>
          <w:sz w:val="22"/>
          <w:szCs w:val="22"/>
        </w:rPr>
        <w:t xml:space="preserve"> kaleak eta Pasealekua zolatzea</w:t>
      </w:r>
    </w:p>
    <w:p w:rsidR="007E49C1" w:rsidRPr="00CB4C4F" w:rsidRDefault="007E49C1" w:rsidP="007E49C1">
      <w:pPr>
        <w:spacing w:line="360" w:lineRule="auto"/>
        <w:ind w:left="426"/>
        <w:jc w:val="both"/>
        <w:rPr>
          <w:rFonts w:ascii="Arial" w:hAnsi="Arial" w:cs="Arial"/>
          <w:sz w:val="22"/>
          <w:szCs w:val="22"/>
        </w:rPr>
      </w:pPr>
      <w:r>
        <w:rPr>
          <w:rFonts w:ascii="Arial" w:hAnsi="Arial"/>
          <w:sz w:val="22"/>
          <w:szCs w:val="22"/>
        </w:rPr>
        <w:t xml:space="preserve">Cabanillas, </w:t>
      </w:r>
      <w:proofErr w:type="spellStart"/>
      <w:r>
        <w:rPr>
          <w:rFonts w:ascii="Arial" w:hAnsi="Arial"/>
          <w:sz w:val="22"/>
          <w:szCs w:val="22"/>
        </w:rPr>
        <w:t>Martzilla</w:t>
      </w:r>
      <w:proofErr w:type="spellEnd"/>
      <w:r>
        <w:rPr>
          <w:rFonts w:ascii="Arial" w:hAnsi="Arial"/>
          <w:sz w:val="22"/>
          <w:szCs w:val="22"/>
        </w:rPr>
        <w:t xml:space="preserve"> eta Alesbesko udalak ez ziren gauza izan obrak epean bukatzeko. Hiru toki-entitateek amaierako exekuzio desberdinak lortu zituzten. Toki Administrazioaren eta Despopulazioaren Zuzendaritza Nagusiko Toki Azpiegituren Zerbitzuak berrikusi egin zuen aurkeztutako dokumentazioa, zehazteko ea obrak erabilera publikorako izan zitezkeen, eta behar ziren diru kopuruak ordaindu ziren. Laburpen gisara, hona hemen entitate bakoitzak jasotako ekarpenak eta gauzatutako inbertsioak: </w:t>
      </w:r>
    </w:p>
    <w:p w:rsidR="00710A53" w:rsidRPr="00CB4C4F" w:rsidRDefault="00710A53" w:rsidP="00710A53">
      <w:pPr>
        <w:spacing w:line="360" w:lineRule="auto"/>
        <w:ind w:left="426"/>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1418"/>
        <w:gridCol w:w="2348"/>
        <w:gridCol w:w="2521"/>
      </w:tblGrid>
      <w:tr w:rsidR="004B53C2" w:rsidRPr="00244401" w:rsidTr="00244401">
        <w:trPr>
          <w:trHeight w:val="20"/>
          <w:jc w:val="center"/>
        </w:trPr>
        <w:tc>
          <w:tcPr>
            <w:tcW w:w="1418" w:type="dxa"/>
          </w:tcPr>
          <w:p w:rsidR="004B53C2" w:rsidRPr="00244401" w:rsidRDefault="004B53C2" w:rsidP="00244401">
            <w:pPr>
              <w:spacing w:before="40" w:after="40"/>
              <w:rPr>
                <w:rFonts w:asciiTheme="minorHAnsi" w:hAnsiTheme="minorHAnsi" w:cs="Arial"/>
                <w:sz w:val="18"/>
                <w:szCs w:val="18"/>
              </w:rPr>
            </w:pPr>
            <w:bookmarkStart w:id="0" w:name="_GoBack"/>
          </w:p>
        </w:tc>
        <w:tc>
          <w:tcPr>
            <w:tcW w:w="2348" w:type="dxa"/>
            <w:vAlign w:val="center"/>
          </w:tcPr>
          <w:p w:rsidR="004B53C2" w:rsidRPr="00244401" w:rsidRDefault="004B53C2" w:rsidP="00244401">
            <w:pPr>
              <w:spacing w:before="40" w:after="40"/>
              <w:jc w:val="center"/>
              <w:rPr>
                <w:rFonts w:asciiTheme="minorHAnsi" w:hAnsiTheme="minorHAnsi" w:cs="Arial"/>
                <w:sz w:val="18"/>
                <w:szCs w:val="18"/>
              </w:rPr>
            </w:pPr>
            <w:r w:rsidRPr="00244401">
              <w:rPr>
                <w:rFonts w:asciiTheme="minorHAnsi" w:hAnsiTheme="minorHAnsi"/>
                <w:sz w:val="18"/>
                <w:szCs w:val="18"/>
              </w:rPr>
              <w:t>Gauzatutako inbertsioa (%)</w:t>
            </w:r>
          </w:p>
        </w:tc>
        <w:tc>
          <w:tcPr>
            <w:tcW w:w="2521" w:type="dxa"/>
            <w:vAlign w:val="center"/>
          </w:tcPr>
          <w:p w:rsidR="004B53C2" w:rsidRPr="00244401" w:rsidRDefault="004B53C2" w:rsidP="00244401">
            <w:pPr>
              <w:spacing w:before="40" w:after="40"/>
              <w:jc w:val="center"/>
              <w:rPr>
                <w:rFonts w:asciiTheme="minorHAnsi" w:hAnsiTheme="minorHAnsi" w:cs="Arial"/>
                <w:sz w:val="18"/>
                <w:szCs w:val="18"/>
              </w:rPr>
            </w:pPr>
            <w:r w:rsidRPr="00244401">
              <w:rPr>
                <w:rFonts w:asciiTheme="minorHAnsi" w:hAnsiTheme="minorHAnsi"/>
                <w:sz w:val="18"/>
                <w:szCs w:val="18"/>
              </w:rPr>
              <w:t>Ordaindutako amaierako ekarpena</w:t>
            </w:r>
          </w:p>
        </w:tc>
      </w:tr>
      <w:tr w:rsidR="004B53C2" w:rsidRPr="00244401" w:rsidTr="00244401">
        <w:trPr>
          <w:trHeight w:val="20"/>
          <w:jc w:val="center"/>
        </w:trPr>
        <w:tc>
          <w:tcPr>
            <w:tcW w:w="1418" w:type="dxa"/>
            <w:vAlign w:val="center"/>
          </w:tcPr>
          <w:p w:rsidR="004B53C2" w:rsidRPr="00244401" w:rsidRDefault="004B53C2" w:rsidP="00244401">
            <w:pPr>
              <w:spacing w:before="40" w:after="40"/>
              <w:rPr>
                <w:rFonts w:asciiTheme="minorHAnsi" w:hAnsiTheme="minorHAnsi" w:cs="Arial"/>
                <w:sz w:val="18"/>
                <w:szCs w:val="18"/>
              </w:rPr>
            </w:pPr>
            <w:r w:rsidRPr="00244401">
              <w:rPr>
                <w:rFonts w:asciiTheme="minorHAnsi" w:hAnsiTheme="minorHAnsi"/>
                <w:sz w:val="18"/>
                <w:szCs w:val="18"/>
              </w:rPr>
              <w:t>Cabanillas</w:t>
            </w:r>
          </w:p>
        </w:tc>
        <w:tc>
          <w:tcPr>
            <w:tcW w:w="2348" w:type="dxa"/>
            <w:vAlign w:val="center"/>
          </w:tcPr>
          <w:p w:rsidR="004B53C2" w:rsidRPr="00244401" w:rsidRDefault="004B53C2" w:rsidP="00244401">
            <w:pPr>
              <w:spacing w:before="40" w:after="40"/>
              <w:jc w:val="center"/>
              <w:rPr>
                <w:rFonts w:asciiTheme="minorHAnsi" w:hAnsiTheme="minorHAnsi" w:cs="Arial"/>
                <w:sz w:val="18"/>
                <w:szCs w:val="18"/>
              </w:rPr>
            </w:pPr>
            <w:r w:rsidRPr="00244401">
              <w:rPr>
                <w:rFonts w:asciiTheme="minorHAnsi" w:hAnsiTheme="minorHAnsi"/>
                <w:sz w:val="18"/>
                <w:szCs w:val="18"/>
              </w:rPr>
              <w:t>% 15</w:t>
            </w:r>
          </w:p>
        </w:tc>
        <w:tc>
          <w:tcPr>
            <w:tcW w:w="2521" w:type="dxa"/>
            <w:vAlign w:val="center"/>
          </w:tcPr>
          <w:p w:rsidR="004B53C2" w:rsidRPr="00244401" w:rsidRDefault="004B53C2" w:rsidP="00244401">
            <w:pPr>
              <w:spacing w:before="40" w:after="40"/>
              <w:jc w:val="right"/>
              <w:rPr>
                <w:rFonts w:asciiTheme="minorHAnsi" w:hAnsiTheme="minorHAnsi" w:cs="Arial"/>
                <w:sz w:val="18"/>
                <w:szCs w:val="18"/>
              </w:rPr>
            </w:pPr>
            <w:r w:rsidRPr="00244401">
              <w:rPr>
                <w:rFonts w:asciiTheme="minorHAnsi" w:hAnsiTheme="minorHAnsi"/>
                <w:sz w:val="18"/>
                <w:szCs w:val="18"/>
              </w:rPr>
              <w:t>121.266.60</w:t>
            </w:r>
          </w:p>
        </w:tc>
      </w:tr>
      <w:tr w:rsidR="004B53C2" w:rsidRPr="00244401" w:rsidTr="00244401">
        <w:trPr>
          <w:trHeight w:val="20"/>
          <w:jc w:val="center"/>
        </w:trPr>
        <w:tc>
          <w:tcPr>
            <w:tcW w:w="1418" w:type="dxa"/>
            <w:vAlign w:val="center"/>
          </w:tcPr>
          <w:p w:rsidR="004B53C2" w:rsidRPr="00244401" w:rsidRDefault="004B53C2" w:rsidP="00244401">
            <w:pPr>
              <w:spacing w:before="40" w:after="40"/>
              <w:rPr>
                <w:rFonts w:asciiTheme="minorHAnsi" w:hAnsiTheme="minorHAnsi" w:cs="Arial"/>
                <w:sz w:val="18"/>
                <w:szCs w:val="18"/>
              </w:rPr>
            </w:pPr>
            <w:proofErr w:type="spellStart"/>
            <w:r w:rsidRPr="00244401">
              <w:rPr>
                <w:rFonts w:asciiTheme="minorHAnsi" w:hAnsiTheme="minorHAnsi"/>
                <w:sz w:val="18"/>
                <w:szCs w:val="18"/>
              </w:rPr>
              <w:t>Martzilla</w:t>
            </w:r>
            <w:proofErr w:type="spellEnd"/>
          </w:p>
        </w:tc>
        <w:tc>
          <w:tcPr>
            <w:tcW w:w="2348" w:type="dxa"/>
            <w:vAlign w:val="center"/>
          </w:tcPr>
          <w:p w:rsidR="004B53C2" w:rsidRPr="00244401" w:rsidRDefault="004B53C2" w:rsidP="00244401">
            <w:pPr>
              <w:spacing w:before="40" w:after="40"/>
              <w:jc w:val="center"/>
              <w:rPr>
                <w:rFonts w:asciiTheme="minorHAnsi" w:hAnsiTheme="minorHAnsi" w:cs="Arial"/>
                <w:sz w:val="18"/>
                <w:szCs w:val="18"/>
              </w:rPr>
            </w:pPr>
            <w:r w:rsidRPr="00244401">
              <w:rPr>
                <w:rFonts w:asciiTheme="minorHAnsi" w:hAnsiTheme="minorHAnsi"/>
                <w:sz w:val="18"/>
                <w:szCs w:val="18"/>
              </w:rPr>
              <w:t>% 33</w:t>
            </w:r>
          </w:p>
        </w:tc>
        <w:tc>
          <w:tcPr>
            <w:tcW w:w="2521" w:type="dxa"/>
            <w:vAlign w:val="center"/>
          </w:tcPr>
          <w:p w:rsidR="004B53C2" w:rsidRPr="00244401" w:rsidRDefault="004B53C2" w:rsidP="00244401">
            <w:pPr>
              <w:spacing w:before="40" w:after="40"/>
              <w:jc w:val="right"/>
              <w:rPr>
                <w:rFonts w:asciiTheme="minorHAnsi" w:hAnsiTheme="minorHAnsi" w:cs="Arial"/>
                <w:sz w:val="18"/>
                <w:szCs w:val="18"/>
              </w:rPr>
            </w:pPr>
            <w:r w:rsidRPr="00244401">
              <w:rPr>
                <w:rFonts w:asciiTheme="minorHAnsi" w:hAnsiTheme="minorHAnsi"/>
                <w:sz w:val="18"/>
                <w:szCs w:val="18"/>
              </w:rPr>
              <w:t>302.785.47</w:t>
            </w:r>
          </w:p>
        </w:tc>
      </w:tr>
      <w:tr w:rsidR="004B53C2" w:rsidRPr="00244401" w:rsidTr="00244401">
        <w:trPr>
          <w:trHeight w:val="20"/>
          <w:jc w:val="center"/>
        </w:trPr>
        <w:tc>
          <w:tcPr>
            <w:tcW w:w="1418" w:type="dxa"/>
            <w:vAlign w:val="center"/>
          </w:tcPr>
          <w:p w:rsidR="004B53C2" w:rsidRPr="00244401" w:rsidRDefault="004B53C2" w:rsidP="00244401">
            <w:pPr>
              <w:spacing w:before="40" w:after="40"/>
              <w:rPr>
                <w:rFonts w:asciiTheme="minorHAnsi" w:hAnsiTheme="minorHAnsi" w:cs="Arial"/>
                <w:sz w:val="18"/>
                <w:szCs w:val="18"/>
              </w:rPr>
            </w:pPr>
            <w:r w:rsidRPr="00244401">
              <w:rPr>
                <w:rFonts w:asciiTheme="minorHAnsi" w:hAnsiTheme="minorHAnsi"/>
                <w:sz w:val="18"/>
                <w:szCs w:val="18"/>
              </w:rPr>
              <w:t>Alesbes</w:t>
            </w:r>
          </w:p>
        </w:tc>
        <w:tc>
          <w:tcPr>
            <w:tcW w:w="2348" w:type="dxa"/>
            <w:vAlign w:val="center"/>
          </w:tcPr>
          <w:p w:rsidR="004B53C2" w:rsidRPr="00244401" w:rsidRDefault="004B53C2" w:rsidP="00244401">
            <w:pPr>
              <w:spacing w:before="40" w:after="40"/>
              <w:jc w:val="center"/>
              <w:rPr>
                <w:rFonts w:asciiTheme="minorHAnsi" w:hAnsiTheme="minorHAnsi" w:cs="Arial"/>
                <w:sz w:val="18"/>
                <w:szCs w:val="18"/>
              </w:rPr>
            </w:pPr>
            <w:r w:rsidRPr="00244401">
              <w:rPr>
                <w:rFonts w:asciiTheme="minorHAnsi" w:hAnsiTheme="minorHAnsi"/>
                <w:sz w:val="18"/>
                <w:szCs w:val="18"/>
              </w:rPr>
              <w:t>% 70</w:t>
            </w:r>
          </w:p>
        </w:tc>
        <w:tc>
          <w:tcPr>
            <w:tcW w:w="2521" w:type="dxa"/>
            <w:vAlign w:val="center"/>
          </w:tcPr>
          <w:p w:rsidR="004B53C2" w:rsidRPr="00244401" w:rsidRDefault="004B53C2" w:rsidP="00244401">
            <w:pPr>
              <w:spacing w:before="40" w:after="40"/>
              <w:jc w:val="right"/>
              <w:rPr>
                <w:rFonts w:asciiTheme="minorHAnsi" w:hAnsiTheme="minorHAnsi" w:cs="Arial"/>
                <w:sz w:val="18"/>
                <w:szCs w:val="18"/>
              </w:rPr>
            </w:pPr>
            <w:r w:rsidRPr="00244401">
              <w:rPr>
                <w:rFonts w:asciiTheme="minorHAnsi" w:hAnsiTheme="minorHAnsi"/>
                <w:sz w:val="18"/>
                <w:szCs w:val="18"/>
              </w:rPr>
              <w:t>525.295,26</w:t>
            </w:r>
          </w:p>
        </w:tc>
      </w:tr>
      <w:bookmarkEnd w:id="0"/>
    </w:tbl>
    <w:p w:rsidR="00304F58" w:rsidRPr="00CB4C4F" w:rsidRDefault="00304F58" w:rsidP="00710A53">
      <w:pPr>
        <w:spacing w:line="360" w:lineRule="auto"/>
        <w:ind w:left="426"/>
        <w:jc w:val="both"/>
        <w:rPr>
          <w:rFonts w:ascii="Arial" w:hAnsi="Arial" w:cs="Arial"/>
          <w:sz w:val="22"/>
          <w:szCs w:val="22"/>
        </w:rPr>
      </w:pPr>
    </w:p>
    <w:p w:rsidR="00CB4C4F" w:rsidRPr="00CB4C4F" w:rsidRDefault="00453A73" w:rsidP="00453A73">
      <w:pPr>
        <w:spacing w:line="360" w:lineRule="auto"/>
        <w:ind w:left="426"/>
        <w:jc w:val="both"/>
        <w:rPr>
          <w:rFonts w:ascii="Arial" w:hAnsi="Arial" w:cs="Arial"/>
          <w:sz w:val="22"/>
          <w:szCs w:val="22"/>
        </w:rPr>
      </w:pPr>
      <w:r>
        <w:rPr>
          <w:rFonts w:ascii="Arial" w:hAnsi="Arial"/>
          <w:sz w:val="22"/>
          <w:szCs w:val="22"/>
        </w:rPr>
        <w:t>Hori jakinarazten dizut, Nafarroako Parlamentuko Erregelamenduaren 194. artikuluan xedatutakoa betetzeko.</w:t>
      </w:r>
    </w:p>
    <w:p w:rsidR="00CB4C4F" w:rsidRPr="00CB4C4F" w:rsidRDefault="00B60C30" w:rsidP="00B60C30">
      <w:pPr>
        <w:spacing w:line="360" w:lineRule="auto"/>
        <w:jc w:val="center"/>
        <w:rPr>
          <w:rFonts w:ascii="Arial" w:hAnsi="Arial" w:cs="Arial"/>
          <w:sz w:val="22"/>
          <w:szCs w:val="22"/>
        </w:rPr>
      </w:pPr>
      <w:r>
        <w:rPr>
          <w:rFonts w:ascii="Arial" w:hAnsi="Arial"/>
          <w:sz w:val="22"/>
          <w:szCs w:val="22"/>
        </w:rPr>
        <w:t>Iruñean, 2020ko irailaren 7an</w:t>
      </w:r>
    </w:p>
    <w:p w:rsidR="0039262A" w:rsidRPr="00CB4C4F" w:rsidRDefault="00CB4C4F" w:rsidP="00CB4C4F">
      <w:pPr>
        <w:spacing w:line="360" w:lineRule="auto"/>
        <w:jc w:val="center"/>
        <w:rPr>
          <w:rFonts w:ascii="Arial" w:hAnsi="Arial" w:cs="Arial"/>
          <w:sz w:val="22"/>
          <w:szCs w:val="22"/>
        </w:rPr>
      </w:pPr>
      <w:r>
        <w:rPr>
          <w:rFonts w:ascii="Arial" w:hAnsi="Arial"/>
          <w:sz w:val="22"/>
          <w:szCs w:val="22"/>
        </w:rPr>
        <w:t xml:space="preserve">Lurralde Kohesiorako kontseilaria: Bernardo </w:t>
      </w:r>
      <w:proofErr w:type="spellStart"/>
      <w:r>
        <w:rPr>
          <w:rFonts w:ascii="Arial" w:hAnsi="Arial"/>
          <w:sz w:val="22"/>
          <w:szCs w:val="22"/>
        </w:rPr>
        <w:t>Ciriza</w:t>
      </w:r>
      <w:proofErr w:type="spellEnd"/>
      <w:r>
        <w:rPr>
          <w:rFonts w:ascii="Arial" w:hAnsi="Arial"/>
          <w:sz w:val="22"/>
          <w:szCs w:val="22"/>
        </w:rPr>
        <w:t xml:space="preserve"> Pérez</w:t>
      </w:r>
    </w:p>
    <w:sectPr w:rsidR="0039262A" w:rsidRPr="00CB4C4F" w:rsidSect="00CB4C4F">
      <w:headerReference w:type="default" r:id="rId8"/>
      <w:footerReference w:type="default" r:id="rId9"/>
      <w:headerReference w:type="first" r:id="rId10"/>
      <w:footerReference w:type="first" r:id="rId11"/>
      <w:pgSz w:w="11906" w:h="16838" w:code="9"/>
      <w:pgMar w:top="1418"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24" w:rsidRDefault="002A6A24">
      <w:r>
        <w:separator/>
      </w:r>
    </w:p>
  </w:endnote>
  <w:endnote w:type="continuationSeparator" w:id="0">
    <w:p w:rsidR="002A6A24" w:rsidRDefault="002A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FA28DC"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00A2145B"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244401">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r w:rsidR="00A2145B">
      <w:t>. 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FA28DC"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00A2145B"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B60C30">
      <w:rPr>
        <w:rStyle w:val="Nmerodepgina"/>
        <w:rFonts w:ascii="Courier New" w:hAnsi="Courier New" w:cs="Courier New"/>
        <w:sz w:val="18"/>
        <w:szCs w:val="18"/>
      </w:rPr>
      <w:t>1</w:t>
    </w:r>
    <w:r w:rsidRPr="00A2145B">
      <w:rPr>
        <w:rStyle w:val="Nmerodepgina"/>
        <w:rFonts w:ascii="Courier New" w:hAnsi="Courier New" w:cs="Courier New"/>
        <w:sz w:val="18"/>
        <w:szCs w:val="18"/>
      </w:rPr>
      <w:fldChar w:fldCharType="end"/>
    </w:r>
    <w:r w:rsidR="00A2145B">
      <w:t>. 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24" w:rsidRDefault="002A6A24">
      <w:r>
        <w:separator/>
      </w:r>
    </w:p>
  </w:footnote>
  <w:footnote w:type="continuationSeparator" w:id="0">
    <w:p w:rsidR="002A6A24" w:rsidRDefault="002A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lang w:val="es-ES"/>
      </w:rPr>
      <w:drawing>
        <wp:anchor distT="0" distB="0" distL="114300" distR="114300" simplePos="0" relativeHeight="251657216" behindDoc="0" locked="0" layoutInCell="1" allowOverlap="1" wp14:anchorId="6017B8E8" wp14:editId="091D7766">
          <wp:simplePos x="0" y="0"/>
          <wp:positionH relativeFrom="page">
            <wp:align>left</wp:align>
          </wp:positionH>
          <wp:positionV relativeFrom="page">
            <wp:align>top</wp:align>
          </wp:positionV>
          <wp:extent cx="7569186" cy="1803058"/>
          <wp:effectExtent l="25400" t="0" r="14" b="0"/>
          <wp:wrapNone/>
          <wp:docPr id="20" name="Imagen 2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162"/>
    <w:multiLevelType w:val="hybridMultilevel"/>
    <w:tmpl w:val="8E5018AE"/>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397E63EF"/>
    <w:multiLevelType w:val="hybridMultilevel"/>
    <w:tmpl w:val="3AC270A6"/>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3">
    <w:nsid w:val="55F73D41"/>
    <w:multiLevelType w:val="hybridMultilevel"/>
    <w:tmpl w:val="3106170C"/>
    <w:lvl w:ilvl="0" w:tplc="ED068C36">
      <w:start w:val="1"/>
      <w:numFmt w:val="bullet"/>
      <w:lvlText w:val=""/>
      <w:lvlJc w:val="left"/>
      <w:pPr>
        <w:ind w:left="1146" w:hanging="360"/>
      </w:pPr>
      <w:rPr>
        <w:rFonts w:ascii="Wingdings" w:hAnsi="Wingdings"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56C6D"/>
    <w:rsid w:val="000729E0"/>
    <w:rsid w:val="0008748A"/>
    <w:rsid w:val="0009463A"/>
    <w:rsid w:val="000963A3"/>
    <w:rsid w:val="000B64A1"/>
    <w:rsid w:val="000D04F7"/>
    <w:rsid w:val="000F301B"/>
    <w:rsid w:val="00192C26"/>
    <w:rsid w:val="001D7D86"/>
    <w:rsid w:val="0020264B"/>
    <w:rsid w:val="002168BE"/>
    <w:rsid w:val="0023497D"/>
    <w:rsid w:val="00244401"/>
    <w:rsid w:val="00272573"/>
    <w:rsid w:val="00277C9A"/>
    <w:rsid w:val="00291E79"/>
    <w:rsid w:val="002A6A24"/>
    <w:rsid w:val="002C5CF9"/>
    <w:rsid w:val="00304F58"/>
    <w:rsid w:val="00355B58"/>
    <w:rsid w:val="00376269"/>
    <w:rsid w:val="0039262A"/>
    <w:rsid w:val="0039690D"/>
    <w:rsid w:val="003F1206"/>
    <w:rsid w:val="004031A8"/>
    <w:rsid w:val="00417186"/>
    <w:rsid w:val="00423C29"/>
    <w:rsid w:val="00426486"/>
    <w:rsid w:val="00442615"/>
    <w:rsid w:val="00453A73"/>
    <w:rsid w:val="004B53C2"/>
    <w:rsid w:val="004C58DB"/>
    <w:rsid w:val="004F4088"/>
    <w:rsid w:val="00524782"/>
    <w:rsid w:val="005367EB"/>
    <w:rsid w:val="00560A6B"/>
    <w:rsid w:val="00597336"/>
    <w:rsid w:val="005B095B"/>
    <w:rsid w:val="00610AAA"/>
    <w:rsid w:val="006764C1"/>
    <w:rsid w:val="00696F6F"/>
    <w:rsid w:val="006A22CB"/>
    <w:rsid w:val="006A5952"/>
    <w:rsid w:val="0070395F"/>
    <w:rsid w:val="00710A53"/>
    <w:rsid w:val="0072622D"/>
    <w:rsid w:val="00780CA4"/>
    <w:rsid w:val="00793F61"/>
    <w:rsid w:val="007B31B4"/>
    <w:rsid w:val="007E49C1"/>
    <w:rsid w:val="007E640E"/>
    <w:rsid w:val="007E69EC"/>
    <w:rsid w:val="00832136"/>
    <w:rsid w:val="00850902"/>
    <w:rsid w:val="00883154"/>
    <w:rsid w:val="008B621E"/>
    <w:rsid w:val="008B62B9"/>
    <w:rsid w:val="009226EF"/>
    <w:rsid w:val="009273D2"/>
    <w:rsid w:val="009603A5"/>
    <w:rsid w:val="00994342"/>
    <w:rsid w:val="009D73FA"/>
    <w:rsid w:val="009E202F"/>
    <w:rsid w:val="009E381E"/>
    <w:rsid w:val="00A02C59"/>
    <w:rsid w:val="00A117E7"/>
    <w:rsid w:val="00A2145B"/>
    <w:rsid w:val="00A71ED2"/>
    <w:rsid w:val="00AC00D4"/>
    <w:rsid w:val="00AC4069"/>
    <w:rsid w:val="00AD0D45"/>
    <w:rsid w:val="00B053EE"/>
    <w:rsid w:val="00B17CCC"/>
    <w:rsid w:val="00B30B0D"/>
    <w:rsid w:val="00B46857"/>
    <w:rsid w:val="00B60C30"/>
    <w:rsid w:val="00BD6A02"/>
    <w:rsid w:val="00C7645D"/>
    <w:rsid w:val="00CA2943"/>
    <w:rsid w:val="00CB4C4F"/>
    <w:rsid w:val="00CC186C"/>
    <w:rsid w:val="00CC44C6"/>
    <w:rsid w:val="00D27CE0"/>
    <w:rsid w:val="00D6726D"/>
    <w:rsid w:val="00DA6D6E"/>
    <w:rsid w:val="00DB144D"/>
    <w:rsid w:val="00DB3E41"/>
    <w:rsid w:val="00DD19DF"/>
    <w:rsid w:val="00DF6784"/>
    <w:rsid w:val="00E21BF7"/>
    <w:rsid w:val="00E43CED"/>
    <w:rsid w:val="00E709AB"/>
    <w:rsid w:val="00E80C19"/>
    <w:rsid w:val="00E9578F"/>
    <w:rsid w:val="00EA1306"/>
    <w:rsid w:val="00ED5CA9"/>
    <w:rsid w:val="00F323EB"/>
    <w:rsid w:val="00F75878"/>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 w:type="paragraph" w:styleId="Prrafodelista">
    <w:name w:val="List Paragraph"/>
    <w:basedOn w:val="Normal"/>
    <w:uiPriority w:val="34"/>
    <w:qFormat/>
    <w:rsid w:val="00096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8B62B9"/>
    <w:rPr>
      <w:color w:val="0000FF" w:themeColor="hyperlink"/>
      <w:u w:val="single"/>
    </w:rPr>
  </w:style>
  <w:style w:type="paragraph" w:styleId="Prrafodelista">
    <w:name w:val="List Paragraph"/>
    <w:basedOn w:val="Normal"/>
    <w:uiPriority w:val="34"/>
    <w:qFormat/>
    <w:rsid w:val="0009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3</cp:revision>
  <cp:lastPrinted>2020-09-07T10:34:00Z</cp:lastPrinted>
  <dcterms:created xsi:type="dcterms:W3CDTF">2020-10-09T10:49:00Z</dcterms:created>
  <dcterms:modified xsi:type="dcterms:W3CDTF">2020-10-09T11:19:00Z</dcterms:modified>
</cp:coreProperties>
</file>