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autovías A-12 y la denominada Autovía del Pirineo,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Maiorga Ramírez Erro, parlamentario foral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respecto al pago referido a la construcción de las autovías A-12 y la denominada Autovía del Pirineo, este parlamentario desea conocer: </w:t>
      </w:r>
    </w:p>
    <w:p>
      <w:pPr>
        <w:pStyle w:val="0"/>
        <w:suppressAutoHyphens w:val="false"/>
        <w:rPr>
          <w:rStyle w:val="1"/>
        </w:rPr>
      </w:pPr>
      <w:r>
        <w:rPr>
          <w:rStyle w:val="1"/>
        </w:rPr>
        <w:t xml:space="preserve">– Los cálculos de la cuantía a abonar en cada una de ellas durante los años 2020 y 2021, con especificación de la afección que en ellas tengan posibles obras y actuaciones de mantenimiento, subida o bajada del número de vehículos que transitan o cuales quiera otras cuestiones que tengan incidencia en la definición de la cuota a pagar. </w:t>
      </w:r>
    </w:p>
    <w:p>
      <w:pPr>
        <w:pStyle w:val="0"/>
        <w:suppressAutoHyphens w:val="false"/>
        <w:rPr>
          <w:rStyle w:val="1"/>
        </w:rPr>
      </w:pPr>
      <w:r>
        <w:rPr>
          <w:rStyle w:val="1"/>
        </w:rPr>
        <w:t xml:space="preserve">En lruñea, a 9 de noviembre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