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atención sanitaria a patología no covid,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oral dirigida a la Consejera de Salud del Gobierno de Navarra para su contestación en Pleno.</w:t>
      </w:r>
    </w:p>
    <w:p>
      <w:pPr>
        <w:pStyle w:val="0"/>
        <w:suppressAutoHyphens w:val="false"/>
        <w:rPr>
          <w:rStyle w:val="1"/>
        </w:rPr>
      </w:pPr>
      <w:r>
        <w:rPr>
          <w:rStyle w:val="1"/>
        </w:rPr>
        <w:t xml:space="preserve">¿Qué impacto en Salud está teniendo en la población navarra la atención sanitaria a patología no covid?</w:t>
      </w:r>
    </w:p>
    <w:p>
      <w:pPr>
        <w:pStyle w:val="0"/>
        <w:suppressAutoHyphens w:val="false"/>
        <w:rPr>
          <w:rStyle w:val="1"/>
        </w:rPr>
      </w:pPr>
      <w:r>
        <w:rPr>
          <w:rStyle w:val="1"/>
        </w:rPr>
        <w:t xml:space="preserve">Pamplona, a 2 de diciembre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