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A0" w:rsidRPr="006253A0" w:rsidRDefault="00BC6E2B">
      <w:pPr>
        <w:pStyle w:val="Textoindependiente"/>
        <w:spacing w:before="72" w:line="360" w:lineRule="auto"/>
        <w:ind w:right="103"/>
        <w:jc w:val="both"/>
        <w:rPr>
          <w:rFonts w:cs="Arial"/>
          <w:lang w:val="es-ES_tradnl"/>
        </w:rPr>
      </w:pPr>
      <w:bookmarkStart w:id="0" w:name="_GoBack"/>
      <w:bookmarkEnd w:id="0"/>
      <w:r w:rsidRPr="006253A0">
        <w:rPr>
          <w:rFonts w:cs="Arial"/>
          <w:lang w:val="es-ES_tradnl"/>
        </w:rPr>
        <w:t xml:space="preserve">La Consejera de Desarrollo Rural </w:t>
      </w:r>
      <w:r w:rsidR="00017DA8" w:rsidRPr="006253A0">
        <w:rPr>
          <w:rFonts w:cs="Arial"/>
          <w:lang w:val="es-ES_tradnl"/>
        </w:rPr>
        <w:t xml:space="preserve">y </w:t>
      </w:r>
      <w:r w:rsidRPr="006253A0">
        <w:rPr>
          <w:rFonts w:cs="Arial"/>
          <w:lang w:val="es-ES_tradnl"/>
        </w:rPr>
        <w:t xml:space="preserve">Medio Ambiente, en relación con la pregunta para su contestación por escrito formulada por el Parlamentario Foral Ilustrísimo Sr. D. Adolfo </w:t>
      </w:r>
      <w:proofErr w:type="spellStart"/>
      <w:r w:rsidRPr="006253A0">
        <w:rPr>
          <w:rFonts w:cs="Arial"/>
          <w:lang w:val="es-ES_tradnl"/>
        </w:rPr>
        <w:t>Araiz</w:t>
      </w:r>
      <w:proofErr w:type="spellEnd"/>
      <w:r w:rsidRPr="006253A0">
        <w:rPr>
          <w:rFonts w:cs="Arial"/>
          <w:lang w:val="es-ES_tradnl"/>
        </w:rPr>
        <w:t xml:space="preserve"> </w:t>
      </w:r>
      <w:proofErr w:type="spellStart"/>
      <w:r w:rsidRPr="006253A0">
        <w:rPr>
          <w:rFonts w:cs="Arial"/>
          <w:lang w:val="es-ES_tradnl"/>
        </w:rPr>
        <w:t>Flamarique</w:t>
      </w:r>
      <w:proofErr w:type="spellEnd"/>
      <w:r w:rsidRPr="006253A0">
        <w:rPr>
          <w:rFonts w:cs="Arial"/>
          <w:lang w:val="es-ES_tradnl"/>
        </w:rPr>
        <w:t xml:space="preserve">, adscrito al Grupo Parlamentario EH </w:t>
      </w:r>
      <w:r w:rsidR="008B2DAF" w:rsidRPr="006253A0">
        <w:rPr>
          <w:rFonts w:cs="Arial"/>
          <w:lang w:val="es-ES_tradnl"/>
        </w:rPr>
        <w:t>Bildu Nafarroa</w:t>
      </w:r>
      <w:r w:rsidRPr="006253A0">
        <w:rPr>
          <w:rFonts w:cs="Arial"/>
          <w:lang w:val="es-ES_tradnl"/>
        </w:rPr>
        <w:t>, sobre el reparto de fondos estatales del PIMA en materia de residuos (10-20-PES-00272), tiene el honor de remitirle la siguiente contestación:</w:t>
      </w:r>
    </w:p>
    <w:p w:rsidR="006253A0" w:rsidRPr="006253A0" w:rsidRDefault="00BC6E2B">
      <w:pPr>
        <w:pStyle w:val="Textoindependiente"/>
        <w:spacing w:line="360" w:lineRule="auto"/>
        <w:ind w:right="111"/>
        <w:jc w:val="both"/>
        <w:rPr>
          <w:rFonts w:cs="Arial"/>
          <w:lang w:val="es-ES_tradnl"/>
        </w:rPr>
      </w:pPr>
      <w:r w:rsidRPr="006253A0">
        <w:rPr>
          <w:rFonts w:cs="Arial"/>
          <w:b/>
          <w:lang w:val="es-ES_tradnl"/>
        </w:rPr>
        <w:t xml:space="preserve">-Pregunta: </w:t>
      </w:r>
      <w:r w:rsidRPr="006253A0">
        <w:rPr>
          <w:rFonts w:cs="Arial"/>
          <w:lang w:val="es-ES_tradnl"/>
        </w:rPr>
        <w:t xml:space="preserve">¿El Departamento de Desarrollo rural y Medio Ambiente o las entidades locales competentes en materia de residuos a través suya presentó ante el Gobierno del Estado algún proyecto relacionado con recogida separada de </w:t>
      </w:r>
      <w:proofErr w:type="spellStart"/>
      <w:r w:rsidRPr="006253A0">
        <w:rPr>
          <w:rFonts w:cs="Arial"/>
          <w:lang w:val="es-ES_tradnl"/>
        </w:rPr>
        <w:t>biorresiduos</w:t>
      </w:r>
      <w:proofErr w:type="spellEnd"/>
      <w:r w:rsidRPr="006253A0">
        <w:rPr>
          <w:rFonts w:cs="Arial"/>
          <w:lang w:val="es-ES_tradnl"/>
        </w:rPr>
        <w:t>, el compostaje doméstico y comunitario, las instalaciones de compostaje, el reciclaje de cocina usado o Proyectos de biogás?</w:t>
      </w:r>
    </w:p>
    <w:p w:rsidR="006253A0" w:rsidRPr="006253A0" w:rsidRDefault="00BC6E2B">
      <w:pPr>
        <w:pStyle w:val="Textoindependiente"/>
        <w:spacing w:line="360" w:lineRule="auto"/>
        <w:ind w:right="108"/>
        <w:jc w:val="both"/>
        <w:rPr>
          <w:rFonts w:cs="Arial"/>
          <w:lang w:val="es-ES_tradnl"/>
        </w:rPr>
      </w:pPr>
      <w:r w:rsidRPr="006253A0">
        <w:rPr>
          <w:rFonts w:cs="Arial"/>
          <w:b/>
          <w:lang w:val="es-ES_tradnl"/>
        </w:rPr>
        <w:t xml:space="preserve">-Respuesta: </w:t>
      </w:r>
      <w:r w:rsidRPr="006253A0">
        <w:rPr>
          <w:rFonts w:cs="Arial"/>
          <w:lang w:val="es-ES_tradnl"/>
        </w:rPr>
        <w:t xml:space="preserve">Se presentaron 4 proyectos de recogida separada de </w:t>
      </w:r>
      <w:proofErr w:type="spellStart"/>
      <w:r w:rsidRPr="006253A0">
        <w:rPr>
          <w:rFonts w:cs="Arial"/>
          <w:lang w:val="es-ES_tradnl"/>
        </w:rPr>
        <w:t>biorresiduos</w:t>
      </w:r>
      <w:proofErr w:type="spellEnd"/>
      <w:r w:rsidRPr="006253A0">
        <w:rPr>
          <w:rFonts w:cs="Arial"/>
          <w:lang w:val="es-ES_tradnl"/>
        </w:rPr>
        <w:t>, 1 proyecto de compostaje doméstico y comunitario y 2 proyectos de instalaciones de compostaje. No se presentaron proyectos referentes al reciclaje de cocina usado ni proyectos de biogás.</w:t>
      </w:r>
    </w:p>
    <w:p w:rsidR="006253A0" w:rsidRPr="006253A0" w:rsidRDefault="00BC6E2B">
      <w:pPr>
        <w:pStyle w:val="Textoindependiente"/>
        <w:spacing w:before="126" w:line="361" w:lineRule="auto"/>
        <w:ind w:right="112"/>
        <w:jc w:val="both"/>
        <w:rPr>
          <w:rFonts w:cs="Arial"/>
          <w:lang w:val="es-ES_tradnl"/>
        </w:rPr>
      </w:pPr>
      <w:r w:rsidRPr="006253A0">
        <w:rPr>
          <w:rFonts w:cs="Arial"/>
          <w:b/>
          <w:lang w:val="es-ES_tradnl"/>
        </w:rPr>
        <w:t xml:space="preserve">-Pregunta: </w:t>
      </w:r>
      <w:r w:rsidRPr="006253A0">
        <w:rPr>
          <w:rFonts w:cs="Arial"/>
          <w:lang w:val="es-ES_tradnl"/>
        </w:rPr>
        <w:t>¿Qué entidades locales competentes en materia de residuos solicitaron al Gobierno proyectos relacionados con las materias susceptibles de ser financiados con los fondos del PIMA en Residuos?</w:t>
      </w:r>
    </w:p>
    <w:p w:rsidR="006253A0" w:rsidRPr="006253A0" w:rsidRDefault="00BC6E2B">
      <w:pPr>
        <w:pStyle w:val="Textoindependiente"/>
        <w:spacing w:line="360" w:lineRule="auto"/>
        <w:ind w:right="108"/>
        <w:jc w:val="both"/>
        <w:rPr>
          <w:rFonts w:cs="Arial"/>
          <w:lang w:val="es-ES_tradnl"/>
        </w:rPr>
      </w:pPr>
      <w:r w:rsidRPr="006253A0">
        <w:rPr>
          <w:rFonts w:cs="Arial"/>
          <w:b/>
          <w:lang w:val="es-ES_tradnl"/>
        </w:rPr>
        <w:t xml:space="preserve">-Respuesta: </w:t>
      </w:r>
      <w:r w:rsidRPr="006253A0">
        <w:rPr>
          <w:rFonts w:cs="Arial"/>
          <w:lang w:val="es-ES_tradnl"/>
        </w:rPr>
        <w:t xml:space="preserve">Los proyectos de recogida separada de </w:t>
      </w:r>
      <w:proofErr w:type="spellStart"/>
      <w:r w:rsidRPr="006253A0">
        <w:rPr>
          <w:rFonts w:cs="Arial"/>
          <w:lang w:val="es-ES_tradnl"/>
        </w:rPr>
        <w:t>biorresiduos</w:t>
      </w:r>
      <w:proofErr w:type="spellEnd"/>
      <w:r w:rsidRPr="006253A0">
        <w:rPr>
          <w:rFonts w:cs="Arial"/>
          <w:lang w:val="es-ES_tradnl"/>
        </w:rPr>
        <w:t xml:space="preserve"> fueron presentados por las mancomunidades de la Ribera, </w:t>
      </w:r>
      <w:proofErr w:type="spellStart"/>
      <w:r w:rsidRPr="006253A0">
        <w:rPr>
          <w:rFonts w:cs="Arial"/>
          <w:lang w:val="es-ES_tradnl"/>
        </w:rPr>
        <w:t>Bortziriak</w:t>
      </w:r>
      <w:proofErr w:type="spellEnd"/>
      <w:r w:rsidRPr="006253A0">
        <w:rPr>
          <w:rFonts w:cs="Arial"/>
          <w:lang w:val="es-ES_tradnl"/>
        </w:rPr>
        <w:t xml:space="preserve">, </w:t>
      </w:r>
      <w:proofErr w:type="spellStart"/>
      <w:r w:rsidRPr="006253A0">
        <w:rPr>
          <w:rFonts w:cs="Arial"/>
          <w:lang w:val="es-ES_tradnl"/>
        </w:rPr>
        <w:t>Montejurra</w:t>
      </w:r>
      <w:proofErr w:type="spellEnd"/>
      <w:r w:rsidRPr="006253A0">
        <w:rPr>
          <w:rFonts w:cs="Arial"/>
          <w:lang w:val="es-ES_tradnl"/>
        </w:rPr>
        <w:t xml:space="preserve"> y </w:t>
      </w:r>
      <w:proofErr w:type="spellStart"/>
      <w:r w:rsidRPr="006253A0">
        <w:rPr>
          <w:rFonts w:cs="Arial"/>
          <w:lang w:val="es-ES_tradnl"/>
        </w:rPr>
        <w:t>Malerreka</w:t>
      </w:r>
      <w:proofErr w:type="spellEnd"/>
      <w:r w:rsidRPr="006253A0">
        <w:rPr>
          <w:rFonts w:cs="Arial"/>
          <w:lang w:val="es-ES_tradnl"/>
        </w:rPr>
        <w:t xml:space="preserve">. El proyecto de compostaje doméstico y comunitario lo presento la Mancomunidad de RSU de </w:t>
      </w:r>
      <w:proofErr w:type="spellStart"/>
      <w:r w:rsidRPr="006253A0">
        <w:rPr>
          <w:rFonts w:cs="Arial"/>
          <w:lang w:val="es-ES_tradnl"/>
        </w:rPr>
        <w:t>Bidausi</w:t>
      </w:r>
      <w:proofErr w:type="spellEnd"/>
      <w:r w:rsidRPr="006253A0">
        <w:rPr>
          <w:rFonts w:cs="Arial"/>
          <w:lang w:val="es-ES_tradnl"/>
        </w:rPr>
        <w:t>; los 2 proyectos de instalaciones de compostaje la Mancomunidad de RSU de Irati.</w:t>
      </w:r>
    </w:p>
    <w:p w:rsidR="006253A0" w:rsidRPr="006253A0" w:rsidRDefault="00BC6E2B">
      <w:pPr>
        <w:pStyle w:val="Textoindependiente"/>
        <w:spacing w:before="127" w:line="361" w:lineRule="auto"/>
        <w:ind w:right="114"/>
        <w:jc w:val="both"/>
        <w:rPr>
          <w:rFonts w:cs="Arial"/>
          <w:lang w:val="es-ES_tradnl"/>
        </w:rPr>
      </w:pPr>
      <w:r w:rsidRPr="006253A0">
        <w:rPr>
          <w:rFonts w:cs="Arial"/>
          <w:b/>
          <w:lang w:val="es-ES_tradnl"/>
        </w:rPr>
        <w:t xml:space="preserve">-Pregunta: </w:t>
      </w:r>
      <w:r w:rsidRPr="006253A0">
        <w:rPr>
          <w:rFonts w:cs="Arial"/>
          <w:lang w:val="es-ES_tradnl"/>
        </w:rPr>
        <w:t>¿Por qué Navarra no va a recibir ninguna cantidad del reparto territorial de los fondos relativos al Plan de Impulso al Medio Ambiente (PIMA) de Residuos?</w:t>
      </w:r>
    </w:p>
    <w:p w:rsidR="005C00B3" w:rsidRPr="006253A0" w:rsidRDefault="00BC6E2B">
      <w:pPr>
        <w:pStyle w:val="Textoindependiente"/>
        <w:spacing w:before="130" w:line="359" w:lineRule="auto"/>
        <w:ind w:right="110"/>
        <w:jc w:val="both"/>
        <w:rPr>
          <w:rFonts w:cs="Arial"/>
          <w:lang w:val="es-ES_tradnl"/>
        </w:rPr>
      </w:pPr>
      <w:r w:rsidRPr="006253A0">
        <w:rPr>
          <w:rFonts w:cs="Arial"/>
          <w:lang w:val="es-ES_tradnl"/>
        </w:rPr>
        <w:t xml:space="preserve">El Ministerio concedió 4828,56 € al Proyecto de extensión de compostaje comunitario de la Mancomunidad de </w:t>
      </w:r>
      <w:proofErr w:type="spellStart"/>
      <w:r w:rsidRPr="006253A0">
        <w:rPr>
          <w:rFonts w:cs="Arial"/>
          <w:lang w:val="es-ES_tradnl"/>
        </w:rPr>
        <w:t>Bidausi</w:t>
      </w:r>
      <w:proofErr w:type="spellEnd"/>
      <w:r w:rsidRPr="006253A0">
        <w:rPr>
          <w:rFonts w:cs="Arial"/>
          <w:lang w:val="es-ES_tradnl"/>
        </w:rPr>
        <w:t>. Las razones para no haber recibido subvención el resto de proyectos presentados son las siguientes:</w:t>
      </w:r>
    </w:p>
    <w:p w:rsidR="006253A0" w:rsidRPr="006253A0" w:rsidRDefault="00BC6E2B">
      <w:pPr>
        <w:pStyle w:val="Textoindependiente"/>
        <w:spacing w:before="3" w:line="359" w:lineRule="auto"/>
        <w:ind w:right="112"/>
        <w:jc w:val="both"/>
        <w:rPr>
          <w:rFonts w:cs="Arial"/>
          <w:lang w:val="es-ES_tradnl"/>
        </w:rPr>
      </w:pPr>
      <w:r w:rsidRPr="006253A0">
        <w:rPr>
          <w:rFonts w:cs="Arial"/>
          <w:lang w:val="es-ES_tradnl"/>
        </w:rPr>
        <w:t>El Proyecto de Construcción de Anden para Orgánico presentado por la Mancomunidad de Irati por no incluir el contenido mínimo establecido en las Bases de la Convocatoria. Falta:</w:t>
      </w:r>
    </w:p>
    <w:p w:rsidR="006253A0" w:rsidRPr="006253A0" w:rsidRDefault="00BC6E2B">
      <w:pPr>
        <w:pStyle w:val="Textoindependiente"/>
        <w:spacing w:before="72" w:line="359" w:lineRule="auto"/>
        <w:ind w:right="386"/>
        <w:jc w:val="both"/>
        <w:rPr>
          <w:rFonts w:cs="Arial"/>
          <w:lang w:val="es-ES_tradnl"/>
        </w:rPr>
      </w:pPr>
      <w:proofErr w:type="gramStart"/>
      <w:r w:rsidRPr="006253A0">
        <w:rPr>
          <w:rFonts w:cs="Arial"/>
          <w:lang w:val="es-ES_tradnl"/>
        </w:rPr>
        <w:t>cronograma</w:t>
      </w:r>
      <w:proofErr w:type="gramEnd"/>
      <w:r w:rsidRPr="006253A0">
        <w:rPr>
          <w:rFonts w:cs="Arial"/>
          <w:lang w:val="es-ES_tradnl"/>
        </w:rPr>
        <w:t>, descripción del tratamiento, memoria descriptiva de la obra y planos de la instalación.</w:t>
      </w:r>
    </w:p>
    <w:p w:rsidR="006253A0" w:rsidRPr="006253A0" w:rsidRDefault="00BC6E2B">
      <w:pPr>
        <w:pStyle w:val="Textoindependiente"/>
        <w:spacing w:before="129" w:line="359" w:lineRule="auto"/>
        <w:ind w:right="390"/>
        <w:jc w:val="both"/>
        <w:rPr>
          <w:rFonts w:cs="Arial"/>
          <w:lang w:val="es-ES_tradnl"/>
        </w:rPr>
      </w:pPr>
      <w:r w:rsidRPr="006253A0">
        <w:rPr>
          <w:rFonts w:cs="Arial"/>
          <w:lang w:val="es-ES_tradnl"/>
        </w:rPr>
        <w:t>El Proyecto de Cubierto para Compostaje presentado por la Mancomunidad de Irati por no incluir el contenido mínimo establecido en las Bases de la Convocatoria Falta: cronograma, descripción del tratamiento, memoria descriptiva de la obra y planos de la instalación.</w:t>
      </w:r>
    </w:p>
    <w:p w:rsidR="006253A0" w:rsidRPr="006253A0" w:rsidRDefault="00BC6E2B">
      <w:pPr>
        <w:pStyle w:val="Textoindependiente"/>
        <w:spacing w:before="132" w:line="359" w:lineRule="auto"/>
        <w:ind w:right="390"/>
        <w:jc w:val="both"/>
        <w:rPr>
          <w:rFonts w:cs="Arial"/>
          <w:lang w:val="es-ES_tradnl"/>
        </w:rPr>
      </w:pPr>
      <w:r w:rsidRPr="006253A0">
        <w:rPr>
          <w:rFonts w:cs="Arial"/>
          <w:lang w:val="es-ES_tradnl"/>
        </w:rPr>
        <w:t xml:space="preserve">El Proyecto de Recogida Selectiva de Materia Orgánica de la Mancomunidad de la Ribera no es de prioridad 1, por lo que no ha sido financiado al no disponer de crédito suficiente </w:t>
      </w:r>
      <w:r w:rsidRPr="006253A0">
        <w:rPr>
          <w:rFonts w:cs="Arial"/>
          <w:lang w:val="es-ES_tradnl"/>
        </w:rPr>
        <w:lastRenderedPageBreak/>
        <w:t>para financiar esta prioridad.</w:t>
      </w:r>
    </w:p>
    <w:p w:rsidR="006253A0" w:rsidRPr="006253A0" w:rsidRDefault="00BC6E2B">
      <w:pPr>
        <w:pStyle w:val="Textoindependiente"/>
        <w:spacing w:before="130" w:line="360" w:lineRule="auto"/>
        <w:ind w:right="386"/>
        <w:jc w:val="both"/>
        <w:rPr>
          <w:rFonts w:cs="Arial"/>
          <w:lang w:val="es-ES_tradnl"/>
        </w:rPr>
      </w:pPr>
      <w:r w:rsidRPr="006253A0">
        <w:rPr>
          <w:rFonts w:cs="Arial"/>
          <w:lang w:val="es-ES_tradnl"/>
        </w:rPr>
        <w:t xml:space="preserve">El Proyecto para la Implantación de la Recogida Separada de </w:t>
      </w:r>
      <w:proofErr w:type="spellStart"/>
      <w:r w:rsidRPr="006253A0">
        <w:rPr>
          <w:rFonts w:cs="Arial"/>
          <w:lang w:val="es-ES_tradnl"/>
        </w:rPr>
        <w:t>biorresiduos</w:t>
      </w:r>
      <w:proofErr w:type="spellEnd"/>
      <w:r w:rsidRPr="006253A0">
        <w:rPr>
          <w:rFonts w:cs="Arial"/>
          <w:lang w:val="es-ES_tradnl"/>
        </w:rPr>
        <w:t xml:space="preserve"> para su tratamiento biológico en la Mancomunidad de </w:t>
      </w:r>
      <w:proofErr w:type="spellStart"/>
      <w:r w:rsidRPr="006253A0">
        <w:rPr>
          <w:rFonts w:cs="Arial"/>
          <w:lang w:val="es-ES_tradnl"/>
        </w:rPr>
        <w:t>Bortziriak</w:t>
      </w:r>
      <w:proofErr w:type="spellEnd"/>
      <w:r w:rsidRPr="006253A0">
        <w:rPr>
          <w:rFonts w:cs="Arial"/>
          <w:lang w:val="es-ES_tradnl"/>
        </w:rPr>
        <w:t xml:space="preserve"> porque no procede la financiación de un proyecto de implantación en el mismo ámbito territorial que otro proyecto de implantación financiado por el MITERD en convocatorias anteriores, debido a que se entiende que ya está implantada la recogida separada de </w:t>
      </w:r>
      <w:proofErr w:type="spellStart"/>
      <w:r w:rsidRPr="006253A0">
        <w:rPr>
          <w:rFonts w:cs="Arial"/>
          <w:lang w:val="es-ES_tradnl"/>
        </w:rPr>
        <w:t>biorresiduos</w:t>
      </w:r>
      <w:proofErr w:type="spellEnd"/>
      <w:r w:rsidRPr="006253A0">
        <w:rPr>
          <w:rFonts w:cs="Arial"/>
          <w:lang w:val="es-ES_tradnl"/>
        </w:rPr>
        <w:t xml:space="preserve"> en este municipio. En 2018 el MITERD concedió financiación al proyecto NAV_RSB_006, que abarcaba la implantación en los 5 municipios de la Mancomunidad de </w:t>
      </w:r>
      <w:proofErr w:type="spellStart"/>
      <w:r w:rsidRPr="006253A0">
        <w:rPr>
          <w:rFonts w:cs="Arial"/>
          <w:lang w:val="es-ES_tradnl"/>
        </w:rPr>
        <w:t>Bortziriak</w:t>
      </w:r>
      <w:proofErr w:type="spellEnd"/>
      <w:r w:rsidRPr="006253A0">
        <w:rPr>
          <w:rFonts w:cs="Arial"/>
          <w:lang w:val="es-ES_tradnl"/>
        </w:rPr>
        <w:t xml:space="preserve"> de la recogida separada de </w:t>
      </w:r>
      <w:proofErr w:type="spellStart"/>
      <w:r w:rsidRPr="006253A0">
        <w:rPr>
          <w:rFonts w:cs="Arial"/>
          <w:lang w:val="es-ES_tradnl"/>
        </w:rPr>
        <w:t>biorresiduos</w:t>
      </w:r>
      <w:proofErr w:type="spellEnd"/>
      <w:r w:rsidRPr="006253A0">
        <w:rPr>
          <w:rFonts w:cs="Arial"/>
          <w:lang w:val="es-ES_tradnl"/>
        </w:rPr>
        <w:t>.</w:t>
      </w:r>
    </w:p>
    <w:p w:rsidR="006253A0" w:rsidRPr="006253A0" w:rsidRDefault="00BC6E2B">
      <w:pPr>
        <w:pStyle w:val="Textoindependiente"/>
        <w:spacing w:before="129" w:line="360" w:lineRule="auto"/>
        <w:ind w:right="387"/>
        <w:jc w:val="both"/>
        <w:rPr>
          <w:rFonts w:cs="Arial"/>
          <w:lang w:val="es-ES_tradnl"/>
        </w:rPr>
      </w:pPr>
      <w:r w:rsidRPr="006253A0">
        <w:rPr>
          <w:rFonts w:cs="Arial"/>
          <w:lang w:val="es-ES_tradnl"/>
        </w:rPr>
        <w:t xml:space="preserve">El Proyecto de implantación de recogida selectiva de materia orgánica de la Mancomunidad de </w:t>
      </w:r>
      <w:proofErr w:type="spellStart"/>
      <w:r w:rsidRPr="006253A0">
        <w:rPr>
          <w:rFonts w:cs="Arial"/>
          <w:lang w:val="es-ES_tradnl"/>
        </w:rPr>
        <w:t>Montejurra</w:t>
      </w:r>
      <w:proofErr w:type="spellEnd"/>
      <w:r w:rsidRPr="006253A0">
        <w:rPr>
          <w:rFonts w:cs="Arial"/>
          <w:lang w:val="es-ES_tradnl"/>
        </w:rPr>
        <w:t xml:space="preserve"> es de prioridad 2. Los proyectos de prioridad 2 no han sido financiados por no disponer de crédito suficiente para financiar esta prioridad.</w:t>
      </w:r>
    </w:p>
    <w:p w:rsidR="006253A0" w:rsidRPr="006253A0" w:rsidRDefault="00BC6E2B">
      <w:pPr>
        <w:pStyle w:val="Textoindependiente"/>
        <w:spacing w:before="129" w:line="360" w:lineRule="auto"/>
        <w:ind w:right="390"/>
        <w:jc w:val="both"/>
        <w:rPr>
          <w:rFonts w:cs="Arial"/>
          <w:lang w:val="es-ES_tradnl"/>
        </w:rPr>
      </w:pPr>
      <w:r w:rsidRPr="006253A0">
        <w:rPr>
          <w:rFonts w:cs="Arial"/>
          <w:lang w:val="es-ES_tradnl"/>
        </w:rPr>
        <w:t xml:space="preserve">El Proyecto de implantación de la recogida selectiva de la materia orgánica en </w:t>
      </w:r>
      <w:proofErr w:type="spellStart"/>
      <w:r w:rsidRPr="006253A0">
        <w:rPr>
          <w:rFonts w:cs="Arial"/>
          <w:lang w:val="es-ES_tradnl"/>
        </w:rPr>
        <w:t>Malerrekako</w:t>
      </w:r>
      <w:proofErr w:type="spellEnd"/>
      <w:r w:rsidRPr="006253A0">
        <w:rPr>
          <w:rFonts w:cs="Arial"/>
          <w:lang w:val="es-ES_tradnl"/>
        </w:rPr>
        <w:t xml:space="preserve"> </w:t>
      </w:r>
      <w:proofErr w:type="spellStart"/>
      <w:r w:rsidRPr="006253A0">
        <w:rPr>
          <w:rFonts w:cs="Arial"/>
          <w:lang w:val="es-ES_tradnl"/>
        </w:rPr>
        <w:t>Mankomunitatea</w:t>
      </w:r>
      <w:proofErr w:type="spellEnd"/>
      <w:r w:rsidRPr="006253A0">
        <w:rPr>
          <w:rFonts w:cs="Arial"/>
          <w:lang w:val="es-ES_tradnl"/>
        </w:rPr>
        <w:t xml:space="preserve"> es de prioridad 3. Los proyectos de prioridad 3 no han sido financiados por no disponer de crédito suficiente para financiar esta prioridad.</w:t>
      </w:r>
    </w:p>
    <w:p w:rsidR="005C00B3" w:rsidRPr="006253A0" w:rsidRDefault="00BC6E2B">
      <w:pPr>
        <w:pStyle w:val="Textoindependiente"/>
        <w:spacing w:before="128"/>
        <w:jc w:val="both"/>
        <w:rPr>
          <w:rFonts w:cs="Arial"/>
          <w:lang w:val="es-ES_tradnl"/>
        </w:rPr>
      </w:pPr>
      <w:r w:rsidRPr="006253A0">
        <w:rPr>
          <w:rFonts w:cs="Arial"/>
          <w:lang w:val="es-ES_tradnl"/>
        </w:rPr>
        <w:t xml:space="preserve">El Orden de prioridad en la financiación de proyecto de recogida separada de </w:t>
      </w:r>
      <w:proofErr w:type="spellStart"/>
      <w:r w:rsidRPr="006253A0">
        <w:rPr>
          <w:rFonts w:cs="Arial"/>
          <w:lang w:val="es-ES_tradnl"/>
        </w:rPr>
        <w:t>biorresiduos</w:t>
      </w:r>
      <w:proofErr w:type="spellEnd"/>
      <w:r w:rsidRPr="006253A0">
        <w:rPr>
          <w:rFonts w:cs="Arial"/>
          <w:lang w:val="es-ES_tradnl"/>
        </w:rPr>
        <w:t xml:space="preserve"> es:</w:t>
      </w:r>
    </w:p>
    <w:p w:rsidR="005C00B3" w:rsidRDefault="005C00B3">
      <w:pPr>
        <w:jc w:val="both"/>
        <w:rPr>
          <w:rFonts w:ascii="Arial" w:hAnsi="Arial" w:cs="Arial"/>
          <w:lang w:val="es-ES_tradnl"/>
        </w:rPr>
      </w:pPr>
    </w:p>
    <w:p w:rsidR="006253A0" w:rsidRPr="006253A0" w:rsidRDefault="006253A0">
      <w:pPr>
        <w:rPr>
          <w:rFonts w:ascii="Arial" w:eastAsia="Arial" w:hAnsi="Arial" w:cs="Arial"/>
          <w:lang w:val="es-ES_tradnl"/>
        </w:rPr>
      </w:pPr>
    </w:p>
    <w:tbl>
      <w:tblPr>
        <w:tblW w:w="9356" w:type="dxa"/>
        <w:tblInd w:w="5" w:type="dxa"/>
        <w:tblLayout w:type="fixed"/>
        <w:tblCellMar>
          <w:left w:w="0" w:type="dxa"/>
          <w:right w:w="0" w:type="dxa"/>
        </w:tblCellMar>
        <w:tblLook w:val="0000" w:firstRow="0" w:lastRow="0" w:firstColumn="0" w:lastColumn="0" w:noHBand="0" w:noVBand="0"/>
      </w:tblPr>
      <w:tblGrid>
        <w:gridCol w:w="8146"/>
        <w:gridCol w:w="1210"/>
      </w:tblGrid>
      <w:tr w:rsidR="009C7B5E" w:rsidRPr="00012195" w:rsidTr="00012195">
        <w:trPr>
          <w:trHeight w:val="499"/>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7B5E" w:rsidRPr="00012195" w:rsidRDefault="009C7B5E" w:rsidP="009C7B5E">
            <w:pPr>
              <w:pStyle w:val="Estilo"/>
              <w:ind w:left="28"/>
              <w:jc w:val="center"/>
              <w:rPr>
                <w:b/>
                <w:w w:val="90"/>
                <w:sz w:val="17"/>
                <w:szCs w:val="17"/>
                <w:lang w:val="es-ES_tradnl"/>
              </w:rPr>
            </w:pPr>
            <w:r w:rsidRPr="00012195">
              <w:rPr>
                <w:b/>
                <w:sz w:val="17"/>
                <w:szCs w:val="17"/>
                <w:lang w:val="es-ES_tradnl"/>
              </w:rPr>
              <w:t xml:space="preserve">ORDEN DE PRIORIDAD EN LA FINANCIACIÓN DE PROYECTOS DE RECOGIDA SEPARADA DE BIORRESIDUOS </w:t>
            </w:r>
            <w:r w:rsidRPr="00012195">
              <w:rPr>
                <w:b/>
                <w:w w:val="90"/>
                <w:sz w:val="17"/>
                <w:szCs w:val="17"/>
                <w:lang w:val="es-ES_tradnl"/>
              </w:rPr>
              <w:t xml:space="preserve">(*) </w:t>
            </w:r>
          </w:p>
        </w:tc>
      </w:tr>
      <w:tr w:rsidR="009C7B5E" w:rsidRPr="00012195" w:rsidTr="00012195">
        <w:trPr>
          <w:trHeight w:val="407"/>
        </w:trPr>
        <w:tc>
          <w:tcPr>
            <w:tcW w:w="8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7B5E" w:rsidRPr="00012195" w:rsidRDefault="009C7B5E" w:rsidP="009C7B5E">
            <w:pPr>
              <w:pStyle w:val="Estilo"/>
              <w:ind w:left="110"/>
              <w:rPr>
                <w:b/>
                <w:sz w:val="17"/>
                <w:szCs w:val="17"/>
                <w:lang w:val="es-ES_tradnl"/>
              </w:rPr>
            </w:pPr>
            <w:r w:rsidRPr="00012195">
              <w:rPr>
                <w:b/>
                <w:sz w:val="17"/>
                <w:szCs w:val="17"/>
                <w:lang w:val="es-ES_tradnl"/>
              </w:rPr>
              <w:t xml:space="preserve">TIPOS DE PROYECTOS </w:t>
            </w:r>
          </w:p>
        </w:tc>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7B5E" w:rsidRPr="00012195" w:rsidRDefault="009C7B5E" w:rsidP="009C7B5E">
            <w:pPr>
              <w:pStyle w:val="Estilo"/>
              <w:ind w:left="23"/>
              <w:jc w:val="center"/>
              <w:rPr>
                <w:b/>
                <w:sz w:val="17"/>
                <w:szCs w:val="17"/>
                <w:lang w:val="es-ES_tradnl"/>
              </w:rPr>
            </w:pPr>
            <w:r w:rsidRPr="00012195">
              <w:rPr>
                <w:b/>
                <w:sz w:val="17"/>
                <w:szCs w:val="17"/>
                <w:lang w:val="es-ES_tradnl"/>
              </w:rPr>
              <w:t xml:space="preserve">PRIORIDAD </w:t>
            </w:r>
          </w:p>
        </w:tc>
      </w:tr>
      <w:tr w:rsidR="00012195" w:rsidRPr="00012195" w:rsidTr="00012195">
        <w:trPr>
          <w:trHeight w:val="635"/>
        </w:trPr>
        <w:tc>
          <w:tcPr>
            <w:tcW w:w="8146" w:type="dxa"/>
            <w:tcBorders>
              <w:top w:val="single" w:sz="4" w:space="0" w:color="auto"/>
              <w:left w:val="single" w:sz="4" w:space="0" w:color="auto"/>
              <w:right w:val="single" w:sz="4" w:space="0" w:color="auto"/>
            </w:tcBorders>
            <w:vAlign w:val="center"/>
          </w:tcPr>
          <w:p w:rsidR="00012195" w:rsidRPr="00012195" w:rsidRDefault="00012195" w:rsidP="009C7B5E">
            <w:pPr>
              <w:pStyle w:val="Estilo"/>
              <w:ind w:left="110"/>
              <w:rPr>
                <w:sz w:val="17"/>
                <w:szCs w:val="17"/>
                <w:lang w:val="es-ES_tradnl"/>
              </w:rPr>
            </w:pPr>
            <w:r w:rsidRPr="00012195">
              <w:rPr>
                <w:sz w:val="17"/>
                <w:szCs w:val="17"/>
                <w:lang w:val="es-ES_tradnl"/>
              </w:rPr>
              <w:t>Proyectos de implantación</w:t>
            </w:r>
            <w:r w:rsidR="00FB617B">
              <w:rPr>
                <w:sz w:val="17"/>
                <w:szCs w:val="17"/>
                <w:lang w:val="es-ES_tradnl"/>
              </w:rPr>
              <w:t xml:space="preserve"> </w:t>
            </w:r>
            <w:r w:rsidRPr="00012195">
              <w:rPr>
                <w:sz w:val="17"/>
                <w:szCs w:val="17"/>
                <w:lang w:val="es-ES_tradnl"/>
              </w:rPr>
              <w:t xml:space="preserve">(**) de la recogida separada de </w:t>
            </w:r>
            <w:proofErr w:type="spellStart"/>
            <w:r w:rsidRPr="00012195">
              <w:rPr>
                <w:sz w:val="17"/>
                <w:szCs w:val="17"/>
                <w:lang w:val="es-ES_tradnl"/>
              </w:rPr>
              <w:t>biorresiduos</w:t>
            </w:r>
            <w:proofErr w:type="spellEnd"/>
            <w:r w:rsidRPr="00012195">
              <w:rPr>
                <w:sz w:val="17"/>
                <w:szCs w:val="17"/>
                <w:lang w:val="es-ES_tradnl"/>
              </w:rPr>
              <w:t xml:space="preserve"> destinados a instalaciones exclusivamente dedicadas al tratamiento biológico de </w:t>
            </w:r>
            <w:proofErr w:type="spellStart"/>
            <w:r w:rsidRPr="00012195">
              <w:rPr>
                <w:sz w:val="17"/>
                <w:szCs w:val="17"/>
                <w:lang w:val="es-ES_tradnl"/>
              </w:rPr>
              <w:t>biorresiduos</w:t>
            </w:r>
            <w:proofErr w:type="spellEnd"/>
            <w:r w:rsidRPr="00012195">
              <w:rPr>
                <w:sz w:val="17"/>
                <w:szCs w:val="17"/>
                <w:lang w:val="es-ES_tradnl"/>
              </w:rPr>
              <w:t xml:space="preserve"> de recogida separada. </w:t>
            </w:r>
          </w:p>
        </w:tc>
        <w:tc>
          <w:tcPr>
            <w:tcW w:w="1210" w:type="dxa"/>
            <w:tcBorders>
              <w:top w:val="single" w:sz="4" w:space="0" w:color="auto"/>
              <w:left w:val="single" w:sz="4" w:space="0" w:color="auto"/>
              <w:bottom w:val="single" w:sz="4" w:space="0" w:color="auto"/>
              <w:right w:val="single" w:sz="4" w:space="0" w:color="auto"/>
            </w:tcBorders>
            <w:vAlign w:val="center"/>
          </w:tcPr>
          <w:p w:rsidR="00012195" w:rsidRPr="00012195" w:rsidRDefault="00012195" w:rsidP="009C7B5E">
            <w:pPr>
              <w:pStyle w:val="Estilo"/>
              <w:ind w:left="23"/>
              <w:jc w:val="center"/>
              <w:rPr>
                <w:sz w:val="17"/>
                <w:szCs w:val="17"/>
                <w:lang w:val="es-ES_tradnl"/>
              </w:rPr>
            </w:pPr>
            <w:r w:rsidRPr="00012195">
              <w:rPr>
                <w:sz w:val="17"/>
                <w:szCs w:val="17"/>
                <w:lang w:val="es-ES_tradnl"/>
              </w:rPr>
              <w:t xml:space="preserve">1 </w:t>
            </w:r>
          </w:p>
        </w:tc>
      </w:tr>
      <w:tr w:rsidR="00012195" w:rsidRPr="00012195" w:rsidTr="00012195">
        <w:trPr>
          <w:trHeight w:val="20"/>
        </w:trPr>
        <w:tc>
          <w:tcPr>
            <w:tcW w:w="8146" w:type="dxa"/>
            <w:vMerge w:val="restart"/>
            <w:tcBorders>
              <w:top w:val="single" w:sz="4" w:space="0" w:color="auto"/>
              <w:left w:val="single" w:sz="4" w:space="0" w:color="auto"/>
              <w:right w:val="single" w:sz="4" w:space="0" w:color="auto"/>
            </w:tcBorders>
            <w:vAlign w:val="center"/>
          </w:tcPr>
          <w:p w:rsidR="00012195" w:rsidRPr="00012195" w:rsidRDefault="00012195" w:rsidP="009C7B5E">
            <w:pPr>
              <w:pStyle w:val="Estilo"/>
              <w:ind w:left="110"/>
              <w:rPr>
                <w:sz w:val="17"/>
                <w:szCs w:val="17"/>
                <w:lang w:val="es-ES_tradnl"/>
              </w:rPr>
            </w:pPr>
            <w:r w:rsidRPr="00012195">
              <w:rPr>
                <w:sz w:val="17"/>
                <w:szCs w:val="17"/>
                <w:lang w:val="es-ES_tradnl"/>
              </w:rPr>
              <w:t>Proyectos de implantación</w:t>
            </w:r>
            <w:r w:rsidR="00FB617B">
              <w:rPr>
                <w:sz w:val="17"/>
                <w:szCs w:val="17"/>
                <w:lang w:val="es-ES_tradnl"/>
              </w:rPr>
              <w:t xml:space="preserve"> </w:t>
            </w:r>
            <w:r w:rsidRPr="00012195">
              <w:rPr>
                <w:sz w:val="17"/>
                <w:szCs w:val="17"/>
                <w:lang w:val="es-ES_tradnl"/>
              </w:rPr>
              <w:t xml:space="preserve">(**) de recogida separada de </w:t>
            </w:r>
            <w:proofErr w:type="spellStart"/>
            <w:r w:rsidRPr="00012195">
              <w:rPr>
                <w:sz w:val="17"/>
                <w:szCs w:val="17"/>
                <w:lang w:val="es-ES_tradnl"/>
              </w:rPr>
              <w:t>biorresiduos</w:t>
            </w:r>
            <w:proofErr w:type="spellEnd"/>
            <w:r w:rsidRPr="00012195">
              <w:rPr>
                <w:sz w:val="17"/>
                <w:szCs w:val="17"/>
                <w:lang w:val="es-ES_tradnl"/>
              </w:rPr>
              <w:t xml:space="preserve"> destinados a instalaciones de TMB en las que existe una línea totalmente independiente para el tratamiento exclusivo de </w:t>
            </w:r>
            <w:proofErr w:type="spellStart"/>
            <w:r w:rsidRPr="00012195">
              <w:rPr>
                <w:sz w:val="17"/>
                <w:szCs w:val="17"/>
                <w:lang w:val="es-ES_tradnl"/>
              </w:rPr>
              <w:t>biorresiduos</w:t>
            </w:r>
            <w:proofErr w:type="spellEnd"/>
            <w:r w:rsidRPr="00012195">
              <w:rPr>
                <w:sz w:val="17"/>
                <w:szCs w:val="17"/>
                <w:lang w:val="es-ES_tradnl"/>
              </w:rPr>
              <w:t xml:space="preserve"> de recogida separada. </w:t>
            </w:r>
          </w:p>
        </w:tc>
        <w:tc>
          <w:tcPr>
            <w:tcW w:w="1210" w:type="dxa"/>
            <w:tcBorders>
              <w:top w:val="single" w:sz="4" w:space="0" w:color="auto"/>
              <w:left w:val="single" w:sz="4" w:space="0" w:color="auto"/>
              <w:bottom w:val="nil"/>
              <w:right w:val="single" w:sz="4" w:space="0" w:color="auto"/>
            </w:tcBorders>
            <w:vAlign w:val="center"/>
          </w:tcPr>
          <w:p w:rsidR="00012195" w:rsidRPr="00012195" w:rsidRDefault="00012195" w:rsidP="009C7B5E">
            <w:pPr>
              <w:pStyle w:val="Estilo"/>
              <w:jc w:val="center"/>
              <w:rPr>
                <w:sz w:val="17"/>
                <w:szCs w:val="17"/>
                <w:lang w:val="es-ES_tradnl"/>
              </w:rPr>
            </w:pPr>
          </w:p>
        </w:tc>
      </w:tr>
      <w:tr w:rsidR="00012195" w:rsidRPr="00012195" w:rsidTr="00012195">
        <w:trPr>
          <w:trHeight w:val="20"/>
        </w:trPr>
        <w:tc>
          <w:tcPr>
            <w:tcW w:w="8146" w:type="dxa"/>
            <w:vMerge/>
            <w:tcBorders>
              <w:left w:val="single" w:sz="4" w:space="0" w:color="auto"/>
              <w:right w:val="single" w:sz="4" w:space="0" w:color="auto"/>
            </w:tcBorders>
            <w:vAlign w:val="center"/>
          </w:tcPr>
          <w:p w:rsidR="00012195" w:rsidRPr="00012195" w:rsidRDefault="00012195" w:rsidP="009C7B5E">
            <w:pPr>
              <w:pStyle w:val="Estilo"/>
              <w:ind w:left="110"/>
              <w:rPr>
                <w:sz w:val="17"/>
                <w:szCs w:val="17"/>
                <w:lang w:val="es-ES_tradnl"/>
              </w:rPr>
            </w:pPr>
          </w:p>
        </w:tc>
        <w:tc>
          <w:tcPr>
            <w:tcW w:w="1210" w:type="dxa"/>
            <w:tcBorders>
              <w:top w:val="nil"/>
              <w:left w:val="single" w:sz="4" w:space="0" w:color="auto"/>
              <w:bottom w:val="nil"/>
              <w:right w:val="single" w:sz="4" w:space="0" w:color="auto"/>
            </w:tcBorders>
            <w:vAlign w:val="center"/>
          </w:tcPr>
          <w:p w:rsidR="00012195" w:rsidRPr="00012195" w:rsidRDefault="00012195" w:rsidP="009C7B5E">
            <w:pPr>
              <w:pStyle w:val="Estilo"/>
              <w:ind w:left="23"/>
              <w:jc w:val="center"/>
              <w:rPr>
                <w:sz w:val="17"/>
                <w:szCs w:val="17"/>
                <w:lang w:val="es-ES_tradnl"/>
              </w:rPr>
            </w:pPr>
            <w:r w:rsidRPr="00012195">
              <w:rPr>
                <w:sz w:val="17"/>
                <w:szCs w:val="17"/>
                <w:lang w:val="es-ES_tradnl"/>
              </w:rPr>
              <w:t xml:space="preserve">2 </w:t>
            </w:r>
          </w:p>
        </w:tc>
      </w:tr>
      <w:tr w:rsidR="00012195" w:rsidRPr="00012195" w:rsidTr="00361A37">
        <w:trPr>
          <w:trHeight w:val="379"/>
        </w:trPr>
        <w:tc>
          <w:tcPr>
            <w:tcW w:w="8146" w:type="dxa"/>
            <w:vMerge/>
            <w:tcBorders>
              <w:left w:val="single" w:sz="4" w:space="0" w:color="auto"/>
              <w:bottom w:val="single" w:sz="4" w:space="0" w:color="auto"/>
              <w:right w:val="single" w:sz="4" w:space="0" w:color="auto"/>
            </w:tcBorders>
            <w:vAlign w:val="center"/>
          </w:tcPr>
          <w:p w:rsidR="00012195" w:rsidRPr="00012195" w:rsidRDefault="00012195" w:rsidP="009C7B5E">
            <w:pPr>
              <w:pStyle w:val="Estilo"/>
              <w:ind w:left="110"/>
              <w:rPr>
                <w:sz w:val="17"/>
                <w:szCs w:val="17"/>
                <w:lang w:val="es-ES_tradnl"/>
              </w:rPr>
            </w:pPr>
          </w:p>
        </w:tc>
        <w:tc>
          <w:tcPr>
            <w:tcW w:w="1210" w:type="dxa"/>
            <w:tcBorders>
              <w:top w:val="nil"/>
              <w:left w:val="single" w:sz="4" w:space="0" w:color="auto"/>
              <w:bottom w:val="single" w:sz="4" w:space="0" w:color="auto"/>
              <w:right w:val="single" w:sz="4" w:space="0" w:color="auto"/>
            </w:tcBorders>
            <w:vAlign w:val="center"/>
          </w:tcPr>
          <w:p w:rsidR="00012195" w:rsidRPr="00012195" w:rsidRDefault="00012195" w:rsidP="009C7B5E">
            <w:pPr>
              <w:pStyle w:val="Estilo"/>
              <w:jc w:val="center"/>
              <w:rPr>
                <w:sz w:val="17"/>
                <w:szCs w:val="17"/>
                <w:lang w:val="es-ES_tradnl"/>
              </w:rPr>
            </w:pPr>
          </w:p>
        </w:tc>
      </w:tr>
      <w:tr w:rsidR="00012195" w:rsidRPr="00012195" w:rsidTr="00012195">
        <w:trPr>
          <w:trHeight w:val="635"/>
        </w:trPr>
        <w:tc>
          <w:tcPr>
            <w:tcW w:w="8146" w:type="dxa"/>
            <w:tcBorders>
              <w:top w:val="single" w:sz="4" w:space="0" w:color="auto"/>
              <w:left w:val="single" w:sz="4" w:space="0" w:color="auto"/>
              <w:right w:val="single" w:sz="4" w:space="0" w:color="auto"/>
            </w:tcBorders>
            <w:vAlign w:val="center"/>
          </w:tcPr>
          <w:p w:rsidR="00012195" w:rsidRPr="00012195" w:rsidRDefault="00012195" w:rsidP="009C7B5E">
            <w:pPr>
              <w:pStyle w:val="Estilo"/>
              <w:ind w:left="110"/>
              <w:rPr>
                <w:sz w:val="17"/>
                <w:szCs w:val="17"/>
                <w:lang w:val="es-ES_tradnl"/>
              </w:rPr>
            </w:pPr>
            <w:r w:rsidRPr="00012195">
              <w:rPr>
                <w:sz w:val="17"/>
                <w:szCs w:val="17"/>
                <w:lang w:val="es-ES_tradnl"/>
              </w:rPr>
              <w:t>Proyectos de ampliación</w:t>
            </w:r>
            <w:r w:rsidR="00FB617B">
              <w:rPr>
                <w:sz w:val="17"/>
                <w:szCs w:val="17"/>
                <w:lang w:val="es-ES_tradnl"/>
              </w:rPr>
              <w:t xml:space="preserve"> </w:t>
            </w:r>
            <w:r w:rsidRPr="00012195">
              <w:rPr>
                <w:sz w:val="17"/>
                <w:szCs w:val="17"/>
                <w:lang w:val="es-ES_tradnl"/>
              </w:rPr>
              <w:t xml:space="preserve">(***) de la recogida separada de </w:t>
            </w:r>
            <w:proofErr w:type="spellStart"/>
            <w:r w:rsidRPr="00012195">
              <w:rPr>
                <w:sz w:val="17"/>
                <w:szCs w:val="17"/>
                <w:lang w:val="es-ES_tradnl"/>
              </w:rPr>
              <w:t>biorresiduos</w:t>
            </w:r>
            <w:proofErr w:type="spellEnd"/>
            <w:r w:rsidRPr="00012195">
              <w:rPr>
                <w:sz w:val="17"/>
                <w:szCs w:val="17"/>
                <w:lang w:val="es-ES_tradnl"/>
              </w:rPr>
              <w:t xml:space="preserve"> destinados a instalaciones exclusivamente dedicadas al tratamiento biológico de </w:t>
            </w:r>
            <w:proofErr w:type="spellStart"/>
            <w:r w:rsidRPr="00012195">
              <w:rPr>
                <w:sz w:val="17"/>
                <w:szCs w:val="17"/>
                <w:lang w:val="es-ES_tradnl"/>
              </w:rPr>
              <w:t>biorresiduos</w:t>
            </w:r>
            <w:proofErr w:type="spellEnd"/>
            <w:r w:rsidRPr="00012195">
              <w:rPr>
                <w:sz w:val="17"/>
                <w:szCs w:val="17"/>
                <w:lang w:val="es-ES_tradnl"/>
              </w:rPr>
              <w:t xml:space="preserve"> de recogida separada. </w:t>
            </w:r>
          </w:p>
        </w:tc>
        <w:tc>
          <w:tcPr>
            <w:tcW w:w="1210" w:type="dxa"/>
            <w:tcBorders>
              <w:top w:val="single" w:sz="4" w:space="0" w:color="auto"/>
              <w:left w:val="single" w:sz="4" w:space="0" w:color="auto"/>
              <w:bottom w:val="single" w:sz="4" w:space="0" w:color="auto"/>
              <w:right w:val="single" w:sz="4" w:space="0" w:color="auto"/>
            </w:tcBorders>
            <w:vAlign w:val="center"/>
          </w:tcPr>
          <w:p w:rsidR="00012195" w:rsidRPr="00012195" w:rsidRDefault="00012195" w:rsidP="009C7B5E">
            <w:pPr>
              <w:pStyle w:val="Estilo"/>
              <w:ind w:left="23"/>
              <w:jc w:val="center"/>
              <w:rPr>
                <w:w w:val="118"/>
                <w:sz w:val="17"/>
                <w:szCs w:val="17"/>
                <w:lang w:val="es-ES_tradnl"/>
              </w:rPr>
            </w:pPr>
            <w:r w:rsidRPr="00012195">
              <w:rPr>
                <w:w w:val="118"/>
                <w:sz w:val="17"/>
                <w:szCs w:val="17"/>
                <w:lang w:val="es-ES_tradnl"/>
              </w:rPr>
              <w:t xml:space="preserve">3 </w:t>
            </w:r>
          </w:p>
        </w:tc>
      </w:tr>
      <w:tr w:rsidR="00012195" w:rsidRPr="00012195" w:rsidTr="00012195">
        <w:trPr>
          <w:trHeight w:val="20"/>
        </w:trPr>
        <w:tc>
          <w:tcPr>
            <w:tcW w:w="8146" w:type="dxa"/>
            <w:vMerge w:val="restart"/>
            <w:tcBorders>
              <w:top w:val="single" w:sz="4" w:space="0" w:color="auto"/>
              <w:left w:val="single" w:sz="4" w:space="0" w:color="auto"/>
              <w:right w:val="single" w:sz="4" w:space="0" w:color="auto"/>
            </w:tcBorders>
            <w:vAlign w:val="center"/>
          </w:tcPr>
          <w:p w:rsidR="00012195" w:rsidRPr="00012195" w:rsidRDefault="00012195" w:rsidP="009C7B5E">
            <w:pPr>
              <w:pStyle w:val="Estilo"/>
              <w:ind w:left="110"/>
              <w:rPr>
                <w:sz w:val="17"/>
                <w:szCs w:val="17"/>
                <w:lang w:val="es-ES_tradnl"/>
              </w:rPr>
            </w:pPr>
            <w:r w:rsidRPr="00012195">
              <w:rPr>
                <w:sz w:val="17"/>
                <w:szCs w:val="17"/>
                <w:lang w:val="es-ES_tradnl"/>
              </w:rPr>
              <w:t>Proyectos de ampliación</w:t>
            </w:r>
            <w:r w:rsidR="00FB617B">
              <w:rPr>
                <w:sz w:val="17"/>
                <w:szCs w:val="17"/>
                <w:lang w:val="es-ES_tradnl"/>
              </w:rPr>
              <w:t xml:space="preserve"> </w:t>
            </w:r>
            <w:r w:rsidRPr="00012195">
              <w:rPr>
                <w:sz w:val="17"/>
                <w:szCs w:val="17"/>
                <w:lang w:val="es-ES_tradnl"/>
              </w:rPr>
              <w:t xml:space="preserve">(***) de recogida separada de </w:t>
            </w:r>
            <w:proofErr w:type="spellStart"/>
            <w:r w:rsidRPr="00012195">
              <w:rPr>
                <w:sz w:val="17"/>
                <w:szCs w:val="17"/>
                <w:lang w:val="es-ES_tradnl"/>
              </w:rPr>
              <w:t>biorresiduos</w:t>
            </w:r>
            <w:proofErr w:type="spellEnd"/>
            <w:r w:rsidRPr="00012195">
              <w:rPr>
                <w:sz w:val="17"/>
                <w:szCs w:val="17"/>
                <w:lang w:val="es-ES_tradnl"/>
              </w:rPr>
              <w:t xml:space="preserve"> destinados a instalaciones de TMB en las que existe una línea totalmente independiente para el tratamiento exclusivo de </w:t>
            </w:r>
            <w:proofErr w:type="spellStart"/>
            <w:r w:rsidRPr="00012195">
              <w:rPr>
                <w:sz w:val="17"/>
                <w:szCs w:val="17"/>
                <w:lang w:val="es-ES_tradnl"/>
              </w:rPr>
              <w:t>biorresiduos</w:t>
            </w:r>
            <w:proofErr w:type="spellEnd"/>
            <w:r w:rsidRPr="00012195">
              <w:rPr>
                <w:sz w:val="17"/>
                <w:szCs w:val="17"/>
                <w:lang w:val="es-ES_tradnl"/>
              </w:rPr>
              <w:t xml:space="preserve"> de recogida separada. </w:t>
            </w:r>
          </w:p>
        </w:tc>
        <w:tc>
          <w:tcPr>
            <w:tcW w:w="1210" w:type="dxa"/>
            <w:tcBorders>
              <w:top w:val="single" w:sz="4" w:space="0" w:color="auto"/>
              <w:left w:val="single" w:sz="4" w:space="0" w:color="auto"/>
              <w:bottom w:val="nil"/>
              <w:right w:val="single" w:sz="4" w:space="0" w:color="auto"/>
            </w:tcBorders>
            <w:vAlign w:val="center"/>
          </w:tcPr>
          <w:p w:rsidR="00012195" w:rsidRPr="00012195" w:rsidRDefault="00012195" w:rsidP="009C7B5E">
            <w:pPr>
              <w:pStyle w:val="Estilo"/>
              <w:jc w:val="center"/>
              <w:rPr>
                <w:sz w:val="17"/>
                <w:szCs w:val="17"/>
                <w:lang w:val="es-ES_tradnl"/>
              </w:rPr>
            </w:pPr>
          </w:p>
        </w:tc>
      </w:tr>
      <w:tr w:rsidR="00012195" w:rsidRPr="00012195" w:rsidTr="00012195">
        <w:trPr>
          <w:trHeight w:val="20"/>
        </w:trPr>
        <w:tc>
          <w:tcPr>
            <w:tcW w:w="8146" w:type="dxa"/>
            <w:vMerge/>
            <w:tcBorders>
              <w:left w:val="single" w:sz="4" w:space="0" w:color="auto"/>
              <w:right w:val="single" w:sz="4" w:space="0" w:color="auto"/>
            </w:tcBorders>
            <w:vAlign w:val="center"/>
          </w:tcPr>
          <w:p w:rsidR="00012195" w:rsidRPr="00012195" w:rsidRDefault="00012195" w:rsidP="009C7B5E">
            <w:pPr>
              <w:pStyle w:val="Estilo"/>
              <w:ind w:left="110"/>
              <w:rPr>
                <w:sz w:val="17"/>
                <w:szCs w:val="17"/>
                <w:lang w:val="es-ES_tradnl"/>
              </w:rPr>
            </w:pPr>
          </w:p>
        </w:tc>
        <w:tc>
          <w:tcPr>
            <w:tcW w:w="1210" w:type="dxa"/>
            <w:tcBorders>
              <w:top w:val="nil"/>
              <w:left w:val="single" w:sz="4" w:space="0" w:color="auto"/>
              <w:bottom w:val="nil"/>
              <w:right w:val="single" w:sz="4" w:space="0" w:color="auto"/>
            </w:tcBorders>
            <w:vAlign w:val="center"/>
          </w:tcPr>
          <w:p w:rsidR="00012195" w:rsidRPr="00012195" w:rsidRDefault="00012195" w:rsidP="009C7B5E">
            <w:pPr>
              <w:pStyle w:val="Estilo"/>
              <w:ind w:left="23"/>
              <w:jc w:val="center"/>
              <w:rPr>
                <w:w w:val="108"/>
                <w:sz w:val="17"/>
                <w:szCs w:val="17"/>
                <w:lang w:val="es-ES_tradnl"/>
              </w:rPr>
            </w:pPr>
            <w:r w:rsidRPr="00012195">
              <w:rPr>
                <w:w w:val="108"/>
                <w:sz w:val="17"/>
                <w:szCs w:val="17"/>
                <w:lang w:val="es-ES_tradnl"/>
              </w:rPr>
              <w:t xml:space="preserve">4 </w:t>
            </w:r>
          </w:p>
        </w:tc>
      </w:tr>
      <w:tr w:rsidR="00012195" w:rsidRPr="00012195" w:rsidTr="00361A37">
        <w:trPr>
          <w:trHeight w:val="370"/>
        </w:trPr>
        <w:tc>
          <w:tcPr>
            <w:tcW w:w="8146" w:type="dxa"/>
            <w:vMerge/>
            <w:tcBorders>
              <w:left w:val="single" w:sz="4" w:space="0" w:color="auto"/>
              <w:bottom w:val="single" w:sz="4" w:space="0" w:color="auto"/>
              <w:right w:val="single" w:sz="4" w:space="0" w:color="auto"/>
            </w:tcBorders>
            <w:vAlign w:val="center"/>
          </w:tcPr>
          <w:p w:rsidR="00012195" w:rsidRPr="00012195" w:rsidRDefault="00012195" w:rsidP="009C7B5E">
            <w:pPr>
              <w:pStyle w:val="Estilo"/>
              <w:ind w:left="110"/>
              <w:rPr>
                <w:sz w:val="17"/>
                <w:szCs w:val="17"/>
                <w:lang w:val="es-ES_tradnl"/>
              </w:rPr>
            </w:pPr>
          </w:p>
        </w:tc>
        <w:tc>
          <w:tcPr>
            <w:tcW w:w="1210" w:type="dxa"/>
            <w:tcBorders>
              <w:top w:val="nil"/>
              <w:left w:val="single" w:sz="4" w:space="0" w:color="auto"/>
              <w:bottom w:val="single" w:sz="4" w:space="0" w:color="auto"/>
              <w:right w:val="single" w:sz="4" w:space="0" w:color="auto"/>
            </w:tcBorders>
            <w:vAlign w:val="center"/>
          </w:tcPr>
          <w:p w:rsidR="00012195" w:rsidRPr="00012195" w:rsidRDefault="00012195" w:rsidP="009C7B5E">
            <w:pPr>
              <w:pStyle w:val="Estilo"/>
              <w:jc w:val="center"/>
              <w:rPr>
                <w:sz w:val="17"/>
                <w:szCs w:val="17"/>
                <w:lang w:val="es-ES_tradnl"/>
              </w:rPr>
            </w:pPr>
          </w:p>
        </w:tc>
      </w:tr>
      <w:tr w:rsidR="00012195" w:rsidRPr="00012195" w:rsidTr="00012195">
        <w:trPr>
          <w:trHeight w:val="20"/>
        </w:trPr>
        <w:tc>
          <w:tcPr>
            <w:tcW w:w="8146" w:type="dxa"/>
            <w:vMerge w:val="restart"/>
            <w:tcBorders>
              <w:top w:val="single" w:sz="4" w:space="0" w:color="auto"/>
              <w:left w:val="single" w:sz="4" w:space="0" w:color="auto"/>
              <w:right w:val="single" w:sz="4" w:space="0" w:color="auto"/>
            </w:tcBorders>
            <w:vAlign w:val="center"/>
          </w:tcPr>
          <w:p w:rsidR="00012195" w:rsidRPr="00012195" w:rsidRDefault="00012195" w:rsidP="009C7B5E">
            <w:pPr>
              <w:pStyle w:val="Estilo"/>
              <w:ind w:left="110"/>
              <w:rPr>
                <w:sz w:val="17"/>
                <w:szCs w:val="17"/>
                <w:lang w:val="es-ES_tradnl"/>
              </w:rPr>
            </w:pPr>
            <w:r w:rsidRPr="00012195">
              <w:rPr>
                <w:sz w:val="17"/>
                <w:szCs w:val="17"/>
                <w:lang w:val="es-ES_tradnl"/>
              </w:rPr>
              <w:t>Proyectos de mejora</w:t>
            </w:r>
            <w:r w:rsidR="00FB617B">
              <w:rPr>
                <w:sz w:val="17"/>
                <w:szCs w:val="17"/>
                <w:lang w:val="es-ES_tradnl"/>
              </w:rPr>
              <w:t xml:space="preserve"> </w:t>
            </w:r>
            <w:r w:rsidRPr="00012195">
              <w:rPr>
                <w:sz w:val="17"/>
                <w:szCs w:val="17"/>
                <w:lang w:val="es-ES_tradnl"/>
              </w:rPr>
              <w:t xml:space="preserve">(****) de la recogida separada de </w:t>
            </w:r>
            <w:proofErr w:type="spellStart"/>
            <w:r w:rsidRPr="00012195">
              <w:rPr>
                <w:sz w:val="17"/>
                <w:szCs w:val="17"/>
                <w:lang w:val="es-ES_tradnl"/>
              </w:rPr>
              <w:t>biorresiduos</w:t>
            </w:r>
            <w:proofErr w:type="spellEnd"/>
            <w:r w:rsidRPr="00012195">
              <w:rPr>
                <w:sz w:val="17"/>
                <w:szCs w:val="17"/>
                <w:lang w:val="es-ES_tradnl"/>
              </w:rPr>
              <w:t xml:space="preserve"> destinados a instalaciones exclusivamente dedicadas al tratamiento biológico de </w:t>
            </w:r>
            <w:proofErr w:type="spellStart"/>
            <w:r w:rsidRPr="00012195">
              <w:rPr>
                <w:sz w:val="17"/>
                <w:szCs w:val="17"/>
                <w:lang w:val="es-ES_tradnl"/>
              </w:rPr>
              <w:t>biorresiduos</w:t>
            </w:r>
            <w:proofErr w:type="spellEnd"/>
            <w:r w:rsidRPr="00012195">
              <w:rPr>
                <w:sz w:val="17"/>
                <w:szCs w:val="17"/>
                <w:lang w:val="es-ES_tradnl"/>
              </w:rPr>
              <w:t xml:space="preserve"> de recogida separada o a instalaciones de TMB en las que existe una línea totalmente independiente para el tratamiento exclusivo de </w:t>
            </w:r>
            <w:proofErr w:type="spellStart"/>
            <w:r w:rsidRPr="00012195">
              <w:rPr>
                <w:sz w:val="17"/>
                <w:szCs w:val="17"/>
                <w:lang w:val="es-ES_tradnl"/>
              </w:rPr>
              <w:t>biorresiduos</w:t>
            </w:r>
            <w:proofErr w:type="spellEnd"/>
            <w:r w:rsidRPr="00012195">
              <w:rPr>
                <w:sz w:val="17"/>
                <w:szCs w:val="17"/>
                <w:lang w:val="es-ES_tradnl"/>
              </w:rPr>
              <w:t xml:space="preserve"> de recogida separada .. </w:t>
            </w:r>
          </w:p>
        </w:tc>
        <w:tc>
          <w:tcPr>
            <w:tcW w:w="1210" w:type="dxa"/>
            <w:tcBorders>
              <w:top w:val="single" w:sz="4" w:space="0" w:color="auto"/>
              <w:left w:val="single" w:sz="4" w:space="0" w:color="auto"/>
              <w:bottom w:val="nil"/>
              <w:right w:val="single" w:sz="4" w:space="0" w:color="auto"/>
            </w:tcBorders>
            <w:vAlign w:val="center"/>
          </w:tcPr>
          <w:p w:rsidR="00012195" w:rsidRPr="00012195" w:rsidRDefault="00012195" w:rsidP="009C7B5E">
            <w:pPr>
              <w:pStyle w:val="Estilo"/>
              <w:jc w:val="center"/>
              <w:rPr>
                <w:sz w:val="17"/>
                <w:szCs w:val="17"/>
                <w:lang w:val="es-ES_tradnl"/>
              </w:rPr>
            </w:pPr>
          </w:p>
        </w:tc>
      </w:tr>
      <w:tr w:rsidR="00012195" w:rsidRPr="00012195" w:rsidTr="00012195">
        <w:trPr>
          <w:trHeight w:val="208"/>
        </w:trPr>
        <w:tc>
          <w:tcPr>
            <w:tcW w:w="8146" w:type="dxa"/>
            <w:vMerge/>
            <w:tcBorders>
              <w:left w:val="single" w:sz="4" w:space="0" w:color="auto"/>
              <w:bottom w:val="nil"/>
              <w:right w:val="single" w:sz="4" w:space="0" w:color="auto"/>
            </w:tcBorders>
            <w:vAlign w:val="center"/>
          </w:tcPr>
          <w:p w:rsidR="00012195" w:rsidRPr="00012195" w:rsidRDefault="00012195" w:rsidP="009C7B5E">
            <w:pPr>
              <w:pStyle w:val="Estilo"/>
              <w:ind w:left="110"/>
              <w:rPr>
                <w:sz w:val="17"/>
                <w:szCs w:val="17"/>
                <w:lang w:val="es-ES_tradnl"/>
              </w:rPr>
            </w:pPr>
          </w:p>
        </w:tc>
        <w:tc>
          <w:tcPr>
            <w:tcW w:w="1210" w:type="dxa"/>
            <w:tcBorders>
              <w:top w:val="nil"/>
              <w:left w:val="single" w:sz="4" w:space="0" w:color="auto"/>
              <w:bottom w:val="nil"/>
              <w:right w:val="single" w:sz="4" w:space="0" w:color="auto"/>
            </w:tcBorders>
            <w:vAlign w:val="center"/>
          </w:tcPr>
          <w:p w:rsidR="00012195" w:rsidRPr="00012195" w:rsidRDefault="00012195" w:rsidP="009C7B5E">
            <w:pPr>
              <w:pStyle w:val="Estilo"/>
              <w:ind w:left="23"/>
              <w:jc w:val="center"/>
              <w:rPr>
                <w:w w:val="108"/>
                <w:sz w:val="17"/>
                <w:szCs w:val="17"/>
                <w:lang w:val="es-ES_tradnl"/>
              </w:rPr>
            </w:pPr>
            <w:r w:rsidRPr="00012195">
              <w:rPr>
                <w:w w:val="108"/>
                <w:sz w:val="17"/>
                <w:szCs w:val="17"/>
                <w:lang w:val="es-ES_tradnl"/>
              </w:rPr>
              <w:t xml:space="preserve">5 </w:t>
            </w:r>
          </w:p>
        </w:tc>
      </w:tr>
      <w:tr w:rsidR="00012195" w:rsidRPr="00012195" w:rsidTr="00361A37">
        <w:trPr>
          <w:trHeight w:val="567"/>
        </w:trPr>
        <w:tc>
          <w:tcPr>
            <w:tcW w:w="8146" w:type="dxa"/>
            <w:vMerge/>
            <w:tcBorders>
              <w:left w:val="single" w:sz="4" w:space="0" w:color="auto"/>
              <w:bottom w:val="single" w:sz="4" w:space="0" w:color="auto"/>
              <w:right w:val="single" w:sz="4" w:space="0" w:color="auto"/>
            </w:tcBorders>
            <w:vAlign w:val="center"/>
          </w:tcPr>
          <w:p w:rsidR="00012195" w:rsidRPr="00012195" w:rsidRDefault="00012195" w:rsidP="009C7B5E">
            <w:pPr>
              <w:pStyle w:val="Estilo"/>
              <w:ind w:left="110"/>
              <w:rPr>
                <w:sz w:val="17"/>
                <w:szCs w:val="17"/>
                <w:lang w:val="es-ES_tradnl"/>
              </w:rPr>
            </w:pPr>
          </w:p>
        </w:tc>
        <w:tc>
          <w:tcPr>
            <w:tcW w:w="1210" w:type="dxa"/>
            <w:tcBorders>
              <w:top w:val="nil"/>
              <w:left w:val="single" w:sz="4" w:space="0" w:color="auto"/>
              <w:bottom w:val="single" w:sz="4" w:space="0" w:color="auto"/>
              <w:right w:val="single" w:sz="4" w:space="0" w:color="auto"/>
            </w:tcBorders>
            <w:vAlign w:val="center"/>
          </w:tcPr>
          <w:p w:rsidR="00012195" w:rsidRPr="00012195" w:rsidRDefault="00012195" w:rsidP="009C7B5E">
            <w:pPr>
              <w:pStyle w:val="Estilo"/>
              <w:jc w:val="center"/>
              <w:rPr>
                <w:sz w:val="17"/>
                <w:szCs w:val="17"/>
                <w:lang w:val="es-ES_tradnl"/>
              </w:rPr>
            </w:pPr>
          </w:p>
        </w:tc>
      </w:tr>
    </w:tbl>
    <w:p w:rsidR="005C00B3" w:rsidRPr="006253A0" w:rsidRDefault="005C00B3">
      <w:pPr>
        <w:spacing w:line="200" w:lineRule="atLeast"/>
        <w:ind w:left="101"/>
        <w:rPr>
          <w:rFonts w:ascii="Arial" w:eastAsia="Arial" w:hAnsi="Arial" w:cs="Arial"/>
          <w:lang w:val="es-ES_tradnl"/>
        </w:rPr>
      </w:pPr>
    </w:p>
    <w:p w:rsidR="006253A0" w:rsidRPr="006253A0" w:rsidRDefault="00BC6E2B">
      <w:pPr>
        <w:pStyle w:val="Textoindependiente"/>
        <w:spacing w:before="119" w:line="364" w:lineRule="auto"/>
        <w:ind w:right="385"/>
        <w:jc w:val="both"/>
        <w:rPr>
          <w:rFonts w:cs="Arial"/>
          <w:lang w:val="es-ES_tradnl"/>
        </w:rPr>
      </w:pPr>
      <w:r w:rsidRPr="006253A0">
        <w:rPr>
          <w:rFonts w:cs="Arial"/>
          <w:b/>
          <w:lang w:val="es-ES_tradnl"/>
        </w:rPr>
        <w:t xml:space="preserve">-Pregunta: </w:t>
      </w:r>
      <w:r w:rsidRPr="006253A0">
        <w:rPr>
          <w:rFonts w:cs="Arial"/>
          <w:lang w:val="es-ES_tradnl"/>
        </w:rPr>
        <w:t>¿Considera justo que Navarra haya quedado excluida del reparto de esos 5,87 millones de euros?</w:t>
      </w:r>
    </w:p>
    <w:p w:rsidR="006253A0" w:rsidRPr="006253A0" w:rsidRDefault="00BC6E2B">
      <w:pPr>
        <w:pStyle w:val="Textoindependiente"/>
        <w:spacing w:line="359" w:lineRule="auto"/>
        <w:ind w:right="393"/>
        <w:jc w:val="both"/>
        <w:rPr>
          <w:rFonts w:cs="Arial"/>
          <w:lang w:val="es-ES_tradnl"/>
        </w:rPr>
      </w:pPr>
      <w:r w:rsidRPr="006253A0">
        <w:rPr>
          <w:rFonts w:cs="Arial"/>
          <w:lang w:val="es-ES_tradnl"/>
        </w:rPr>
        <w:t>El Ministerio hizo la valoración de los proyectos presentados por las Mancomunidades de Navarra conforme a las bases de la convocatoria y las prioridades establecidas en la misma.</w:t>
      </w:r>
    </w:p>
    <w:p w:rsidR="006253A0" w:rsidRPr="006253A0" w:rsidRDefault="00BC6E2B">
      <w:pPr>
        <w:pStyle w:val="Textoindependiente"/>
        <w:spacing w:before="127" w:line="360" w:lineRule="auto"/>
        <w:ind w:right="388"/>
        <w:jc w:val="both"/>
        <w:rPr>
          <w:rFonts w:cs="Arial"/>
          <w:lang w:val="es-ES_tradnl"/>
        </w:rPr>
      </w:pPr>
      <w:r w:rsidRPr="006253A0">
        <w:rPr>
          <w:rFonts w:cs="Arial"/>
          <w:b/>
          <w:lang w:val="es-ES_tradnl"/>
        </w:rPr>
        <w:lastRenderedPageBreak/>
        <w:t xml:space="preserve">-Pregunta: </w:t>
      </w:r>
      <w:r w:rsidRPr="006253A0">
        <w:rPr>
          <w:rFonts w:cs="Arial"/>
          <w:lang w:val="es-ES_tradnl"/>
        </w:rPr>
        <w:t>¿Dio el Gobierno de Navarra su visto bueno al reparto de esos fondos en la Conferencia Sectorial de Medio Ambiente, el órgano de colaboración entre el Gobierno del Estado y las comunidades autónomas en materia ambiental, que se celebró el pasado 21 de septiembre?</w:t>
      </w:r>
    </w:p>
    <w:p w:rsidR="006253A0" w:rsidRPr="006253A0" w:rsidRDefault="00BC6E2B">
      <w:pPr>
        <w:pStyle w:val="Textoindependiente"/>
        <w:spacing w:before="131" w:line="359" w:lineRule="auto"/>
        <w:ind w:right="388"/>
        <w:jc w:val="both"/>
        <w:rPr>
          <w:rFonts w:cs="Arial"/>
          <w:lang w:val="es-ES_tradnl"/>
        </w:rPr>
      </w:pPr>
      <w:r w:rsidRPr="006253A0">
        <w:rPr>
          <w:rFonts w:cs="Arial"/>
          <w:lang w:val="es-ES_tradnl"/>
        </w:rPr>
        <w:t>El Gobierno de Navarra dio su visto bueno al reparto de esos fondos porque ese reparto es conforme a las bases de la convocatoria y a las prioridades establecidas en la misma</w:t>
      </w:r>
      <w:r w:rsidR="00DA7835">
        <w:rPr>
          <w:rFonts w:cs="Arial"/>
          <w:lang w:val="es-ES_tradnl"/>
        </w:rPr>
        <w:t>.</w:t>
      </w:r>
    </w:p>
    <w:p w:rsidR="006253A0" w:rsidRPr="006253A0" w:rsidRDefault="00BC6E2B">
      <w:pPr>
        <w:pStyle w:val="Textoindependiente"/>
        <w:spacing w:before="129"/>
        <w:ind w:left="2399" w:right="2686"/>
        <w:jc w:val="center"/>
        <w:rPr>
          <w:rFonts w:cs="Arial"/>
          <w:lang w:val="es-ES_tradnl"/>
        </w:rPr>
      </w:pPr>
      <w:r w:rsidRPr="006253A0">
        <w:rPr>
          <w:rFonts w:cs="Arial"/>
          <w:lang w:val="es-ES_tradnl"/>
        </w:rPr>
        <w:t>Pamplona, 26 de noviembre de 2020</w:t>
      </w:r>
    </w:p>
    <w:p w:rsidR="006253A0" w:rsidRPr="006253A0" w:rsidRDefault="00017DA8">
      <w:pPr>
        <w:pStyle w:val="Textoindependiente"/>
        <w:spacing w:before="132"/>
        <w:ind w:left="0" w:right="287"/>
        <w:jc w:val="center"/>
        <w:rPr>
          <w:rFonts w:cs="Arial"/>
          <w:lang w:val="es-ES_tradnl"/>
        </w:rPr>
      </w:pPr>
      <w:r w:rsidRPr="006253A0">
        <w:rPr>
          <w:rFonts w:cs="Arial"/>
          <w:lang w:val="es-ES_tradnl"/>
        </w:rPr>
        <w:t>La Consejera de Desarrollo Rural y Medio Ambient</w:t>
      </w:r>
      <w:r>
        <w:rPr>
          <w:rFonts w:cs="Arial"/>
          <w:lang w:val="es-ES_tradnl"/>
        </w:rPr>
        <w:t xml:space="preserve">e: </w:t>
      </w:r>
      <w:r w:rsidR="00BC6E2B" w:rsidRPr="006253A0">
        <w:rPr>
          <w:rFonts w:cs="Arial"/>
          <w:lang w:val="es-ES_tradnl"/>
        </w:rPr>
        <w:t>Itziar Gómez López</w:t>
      </w:r>
    </w:p>
    <w:sectPr w:rsidR="006253A0" w:rsidRPr="006253A0" w:rsidSect="006253A0">
      <w:footerReference w:type="default" r:id="rId7"/>
      <w:pgSz w:w="11910" w:h="16840"/>
      <w:pgMar w:top="1580" w:right="995" w:bottom="1276" w:left="1600" w:header="0" w:footer="4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2DB" w:rsidRDefault="00BC6E2B">
      <w:r>
        <w:separator/>
      </w:r>
    </w:p>
  </w:endnote>
  <w:endnote w:type="continuationSeparator" w:id="0">
    <w:p w:rsidR="00DF42DB" w:rsidRDefault="00BC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B3" w:rsidRDefault="005C00B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2DB" w:rsidRDefault="00BC6E2B">
      <w:r>
        <w:separator/>
      </w:r>
    </w:p>
  </w:footnote>
  <w:footnote w:type="continuationSeparator" w:id="0">
    <w:p w:rsidR="00DF42DB" w:rsidRDefault="00BC6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B3"/>
    <w:rsid w:val="00012195"/>
    <w:rsid w:val="00017DA8"/>
    <w:rsid w:val="00361A37"/>
    <w:rsid w:val="005C00B3"/>
    <w:rsid w:val="006253A0"/>
    <w:rsid w:val="008B2DAF"/>
    <w:rsid w:val="009C7B5E"/>
    <w:rsid w:val="00BC6E2B"/>
    <w:rsid w:val="00C962B2"/>
    <w:rsid w:val="00DA7835"/>
    <w:rsid w:val="00DF42DB"/>
    <w:rsid w:val="00FB6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704"/>
      <w:outlineLvl w:val="0"/>
    </w:pPr>
    <w:rPr>
      <w:rFonts w:ascii="Cambria" w:eastAsia="Cambria" w:hAnsi="Cambria"/>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253A0"/>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3A0"/>
    <w:rPr>
      <w:rFonts w:ascii="Tahoma" w:hAnsi="Tahoma" w:cs="Tahoma"/>
      <w:sz w:val="16"/>
      <w:szCs w:val="16"/>
    </w:rPr>
  </w:style>
  <w:style w:type="paragraph" w:styleId="Encabezado">
    <w:name w:val="header"/>
    <w:basedOn w:val="Normal"/>
    <w:link w:val="EncabezadoCar"/>
    <w:uiPriority w:val="99"/>
    <w:unhideWhenUsed/>
    <w:rsid w:val="006253A0"/>
    <w:pPr>
      <w:tabs>
        <w:tab w:val="center" w:pos="4252"/>
        <w:tab w:val="right" w:pos="8504"/>
      </w:tabs>
    </w:pPr>
  </w:style>
  <w:style w:type="character" w:customStyle="1" w:styleId="EncabezadoCar">
    <w:name w:val="Encabezado Car"/>
    <w:basedOn w:val="Fuentedeprrafopredeter"/>
    <w:link w:val="Encabezado"/>
    <w:uiPriority w:val="99"/>
    <w:rsid w:val="006253A0"/>
  </w:style>
  <w:style w:type="paragraph" w:styleId="Piedepgina">
    <w:name w:val="footer"/>
    <w:basedOn w:val="Normal"/>
    <w:link w:val="PiedepginaCar"/>
    <w:uiPriority w:val="99"/>
    <w:unhideWhenUsed/>
    <w:rsid w:val="006253A0"/>
    <w:pPr>
      <w:tabs>
        <w:tab w:val="center" w:pos="4252"/>
        <w:tab w:val="right" w:pos="8504"/>
      </w:tabs>
    </w:pPr>
  </w:style>
  <w:style w:type="character" w:customStyle="1" w:styleId="PiedepginaCar">
    <w:name w:val="Pie de página Car"/>
    <w:basedOn w:val="Fuentedeprrafopredeter"/>
    <w:link w:val="Piedepgina"/>
    <w:uiPriority w:val="99"/>
    <w:rsid w:val="006253A0"/>
  </w:style>
  <w:style w:type="paragraph" w:customStyle="1" w:styleId="Estilo">
    <w:name w:val="Estilo"/>
    <w:rsid w:val="009C7B5E"/>
    <w:pPr>
      <w:autoSpaceDE w:val="0"/>
      <w:autoSpaceDN w:val="0"/>
      <w:adjustRightInd w:val="0"/>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704"/>
      <w:outlineLvl w:val="0"/>
    </w:pPr>
    <w:rPr>
      <w:rFonts w:ascii="Cambria" w:eastAsia="Cambria" w:hAnsi="Cambria"/>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253A0"/>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3A0"/>
    <w:rPr>
      <w:rFonts w:ascii="Tahoma" w:hAnsi="Tahoma" w:cs="Tahoma"/>
      <w:sz w:val="16"/>
      <w:szCs w:val="16"/>
    </w:rPr>
  </w:style>
  <w:style w:type="paragraph" w:styleId="Encabezado">
    <w:name w:val="header"/>
    <w:basedOn w:val="Normal"/>
    <w:link w:val="EncabezadoCar"/>
    <w:uiPriority w:val="99"/>
    <w:unhideWhenUsed/>
    <w:rsid w:val="006253A0"/>
    <w:pPr>
      <w:tabs>
        <w:tab w:val="center" w:pos="4252"/>
        <w:tab w:val="right" w:pos="8504"/>
      </w:tabs>
    </w:pPr>
  </w:style>
  <w:style w:type="character" w:customStyle="1" w:styleId="EncabezadoCar">
    <w:name w:val="Encabezado Car"/>
    <w:basedOn w:val="Fuentedeprrafopredeter"/>
    <w:link w:val="Encabezado"/>
    <w:uiPriority w:val="99"/>
    <w:rsid w:val="006253A0"/>
  </w:style>
  <w:style w:type="paragraph" w:styleId="Piedepgina">
    <w:name w:val="footer"/>
    <w:basedOn w:val="Normal"/>
    <w:link w:val="PiedepginaCar"/>
    <w:uiPriority w:val="99"/>
    <w:unhideWhenUsed/>
    <w:rsid w:val="006253A0"/>
    <w:pPr>
      <w:tabs>
        <w:tab w:val="center" w:pos="4252"/>
        <w:tab w:val="right" w:pos="8504"/>
      </w:tabs>
    </w:pPr>
  </w:style>
  <w:style w:type="character" w:customStyle="1" w:styleId="PiedepginaCar">
    <w:name w:val="Pie de página Car"/>
    <w:basedOn w:val="Fuentedeprrafopredeter"/>
    <w:link w:val="Piedepgina"/>
    <w:uiPriority w:val="99"/>
    <w:rsid w:val="006253A0"/>
  </w:style>
  <w:style w:type="paragraph" w:customStyle="1" w:styleId="Estilo">
    <w:name w:val="Estilo"/>
    <w:rsid w:val="009C7B5E"/>
    <w:pPr>
      <w:autoSpaceDE w:val="0"/>
      <w:autoSpaceDN w:val="0"/>
      <w:adjustRightInd w:val="0"/>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2020-12-10T12:18:00Z</dcterms:created>
  <dcterms:modified xsi:type="dcterms:W3CDTF">2021-02-02T12:31:00Z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LastSaved">
    <vt:filetime>2020-12-10T00:00:00Z</vt:filetime>
  </property>
</Properties>
</file>