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C50" w:rsidRDefault="00BA4CEA" w:rsidP="00BA4CEA">
      <w:pPr>
        <w:tabs>
          <w:tab w:val="left" w:pos="3780"/>
        </w:tabs>
        <w:spacing w:line="288" w:lineRule="auto"/>
        <w:jc w:val="both"/>
        <w:rPr>
          <w:rFonts w:ascii="Century Gothic" w:hAnsi="Century Gothic"/>
        </w:rPr>
      </w:pPr>
      <w:bookmarkStart w:id="0" w:name="_GoBack"/>
      <w:r w:rsidRPr="00FD72BB">
        <w:rPr>
          <w:rFonts w:ascii="Century Gothic" w:hAnsi="Century Gothic"/>
        </w:rPr>
        <w:t xml:space="preserve">La Consejera de Salud del Gobierno de Navarra, en relación con la </w:t>
      </w:r>
      <w:r>
        <w:rPr>
          <w:rFonts w:ascii="Century Gothic" w:hAnsi="Century Gothic"/>
        </w:rPr>
        <w:t>pregunta escrita (10-20-PES</w:t>
      </w:r>
      <w:r w:rsidRPr="00FD72BB">
        <w:rPr>
          <w:rFonts w:ascii="Century Gothic" w:hAnsi="Century Gothic"/>
        </w:rPr>
        <w:t>-00</w:t>
      </w:r>
      <w:r>
        <w:rPr>
          <w:rFonts w:ascii="Century Gothic" w:hAnsi="Century Gothic"/>
        </w:rPr>
        <w:t>323</w:t>
      </w:r>
      <w:r w:rsidRPr="00FD72BB">
        <w:rPr>
          <w:rFonts w:ascii="Century Gothic" w:hAnsi="Century Gothic"/>
        </w:rPr>
        <w:t>) presentada por la Parlamentaria Foral Ilma. Sra.  Cristina Ibarrola Guillén, adscrita al Grupo Parlamentario de Navarra Suma, que solicita “</w:t>
      </w:r>
      <w:r>
        <w:rPr>
          <w:rFonts w:ascii="Century Gothic" w:hAnsi="Century Gothic"/>
        </w:rPr>
        <w:t>qué acciones concretas y en qué fecha ha realizado el Departamento de Salud formalmente para dar cumplimiento al segundo punto de la moción aprobada en esta Cámara en diciembre de 2019 en relación con la Estrategia Nacional de Cáncer?</w:t>
      </w:r>
      <w:r w:rsidRPr="00FD72BB">
        <w:rPr>
          <w:rFonts w:ascii="Century Gothic" w:hAnsi="Century Gothic"/>
        </w:rPr>
        <w:t xml:space="preserve">”, tiene el honor de remitirle la siguiente información: </w:t>
      </w:r>
    </w:p>
    <w:p w:rsidR="00EC7C50" w:rsidRDefault="00BA4CEA" w:rsidP="00BA4CEA">
      <w:pPr>
        <w:spacing w:line="288" w:lineRule="auto"/>
        <w:jc w:val="both"/>
        <w:rPr>
          <w:rFonts w:ascii="Century Gothic" w:hAnsi="Century Gothic" w:cs="Arial"/>
          <w:color w:val="000000"/>
        </w:rPr>
      </w:pPr>
      <w:r w:rsidRPr="00FD72BB">
        <w:rPr>
          <w:rFonts w:ascii="Century Gothic" w:hAnsi="Century Gothic" w:cs="Arial"/>
          <w:color w:val="000000"/>
        </w:rPr>
        <w:t xml:space="preserve">El trabajo en la atención a la Estrategia Nacional del Cáncer continúa en Navarra. La propuesta de la representante foral en el Grupo de Seguimiento de la Estrategia Nacional de Cáncer, junto a otras comunidades autónomas, ha contribuido a que se acepte e incluya a nivel estatal el importante ámbito de la medicina de precisión, así como la prioridad que supone que se garantice el acceso integral de los pacientes a ella. </w:t>
      </w:r>
    </w:p>
    <w:p w:rsidR="00EC7C50" w:rsidRDefault="00BA4CEA" w:rsidP="00BA4CEA">
      <w:pPr>
        <w:spacing w:line="288" w:lineRule="auto"/>
        <w:jc w:val="both"/>
        <w:rPr>
          <w:rFonts w:ascii="Century Gothic" w:hAnsi="Century Gothic" w:cs="Arial"/>
        </w:rPr>
      </w:pPr>
      <w:r w:rsidRPr="00FD72BB">
        <w:rPr>
          <w:rFonts w:ascii="Century Gothic" w:hAnsi="Century Gothic" w:cs="Arial"/>
          <w:color w:val="000000"/>
        </w:rPr>
        <w:t xml:space="preserve">El </w:t>
      </w:r>
      <w:r w:rsidRPr="00FD72BB">
        <w:rPr>
          <w:rFonts w:ascii="Century Gothic" w:hAnsi="Century Gothic" w:cs="Arial"/>
        </w:rPr>
        <w:t xml:space="preserve">proceso diagnóstico en oncología está cambiando de forma notable tras la consolidación de la medicina de precisión, que requiere de una evaluación de </w:t>
      </w:r>
      <w:proofErr w:type="spellStart"/>
      <w:r w:rsidRPr="00FD72BB">
        <w:rPr>
          <w:rFonts w:ascii="Century Gothic" w:hAnsi="Century Gothic" w:cs="Arial"/>
        </w:rPr>
        <w:t>biomarcadores</w:t>
      </w:r>
      <w:proofErr w:type="spellEnd"/>
      <w:r w:rsidRPr="00FD72BB">
        <w:rPr>
          <w:rFonts w:ascii="Century Gothic" w:hAnsi="Century Gothic" w:cs="Arial"/>
        </w:rPr>
        <w:t xml:space="preserve"> tanto de pronóstico como de predicción de la respuesta terapéutica. Estos se deben utilizar de forma conjunta con el diagnóstico patológico o bien cuando se presenta una recidiva o metástasis, lo que incrementa la exigencia y complejidad del proceso. Por otra parte, este conjunto de marcadores está en constante expansión y plantea nuevos problemas organizativos como la necesidad del acceso a su realización cuando clínicamente sea necesario. </w:t>
      </w:r>
    </w:p>
    <w:p w:rsidR="00EC7C50" w:rsidRDefault="00BA4CEA" w:rsidP="00BA4CEA">
      <w:pPr>
        <w:spacing w:line="288" w:lineRule="auto"/>
        <w:jc w:val="both"/>
        <w:rPr>
          <w:rFonts w:ascii="Century Gothic" w:hAnsi="Century Gothic" w:cs="Arial"/>
          <w:color w:val="000000"/>
        </w:rPr>
      </w:pPr>
      <w:r w:rsidRPr="00FD72BB">
        <w:rPr>
          <w:rFonts w:ascii="Century Gothic" w:hAnsi="Century Gothic" w:cs="Arial"/>
        </w:rPr>
        <w:t xml:space="preserve">Para que este objetivo se cumpla, se debe garantizar tanto el acceso de forma equitativa, como asegurar la calidad de la prueba y de la interpretación del resultado, lo que conduce a la necesidad de analizar las ventajas de concentrar su realización en centros de referencia que cuenten con tecnología actualizada.  </w:t>
      </w:r>
    </w:p>
    <w:p w:rsidR="00EC7C50" w:rsidRDefault="00BA4CEA" w:rsidP="00BA4CEA">
      <w:pPr>
        <w:spacing w:after="200" w:line="288" w:lineRule="auto"/>
        <w:contextualSpacing/>
        <w:jc w:val="both"/>
        <w:rPr>
          <w:rFonts w:ascii="Century Gothic" w:hAnsi="Century Gothic" w:cs="Arial"/>
        </w:rPr>
      </w:pPr>
      <w:r w:rsidRPr="00FD72BB">
        <w:rPr>
          <w:rFonts w:ascii="Century Gothic" w:hAnsi="Century Gothic" w:cs="Arial"/>
        </w:rPr>
        <w:t xml:space="preserve">Otro aspecto importante es la necesidad de distinguir los </w:t>
      </w:r>
      <w:proofErr w:type="spellStart"/>
      <w:r w:rsidRPr="00FD72BB">
        <w:rPr>
          <w:rFonts w:ascii="Century Gothic" w:hAnsi="Century Gothic" w:cs="Arial"/>
        </w:rPr>
        <w:t>biomarcadores</w:t>
      </w:r>
      <w:proofErr w:type="spellEnd"/>
      <w:r w:rsidRPr="00FD72BB">
        <w:rPr>
          <w:rFonts w:ascii="Century Gothic" w:hAnsi="Century Gothic" w:cs="Arial"/>
        </w:rPr>
        <w:t xml:space="preserve"> útiles para la toma de decisión médica, con eficacia </w:t>
      </w:r>
      <w:proofErr w:type="gramStart"/>
      <w:r w:rsidRPr="00FD72BB">
        <w:rPr>
          <w:rFonts w:ascii="Century Gothic" w:hAnsi="Century Gothic" w:cs="Arial"/>
        </w:rPr>
        <w:t>demostrada</w:t>
      </w:r>
      <w:proofErr w:type="gramEnd"/>
      <w:r w:rsidRPr="00FD72BB">
        <w:rPr>
          <w:rFonts w:ascii="Century Gothic" w:hAnsi="Century Gothic" w:cs="Arial"/>
        </w:rPr>
        <w:t xml:space="preserve">, frente a aquellos </w:t>
      </w:r>
      <w:proofErr w:type="spellStart"/>
      <w:r w:rsidRPr="00FD72BB">
        <w:rPr>
          <w:rFonts w:ascii="Century Gothic" w:hAnsi="Century Gothic" w:cs="Arial"/>
        </w:rPr>
        <w:t>biomarcadores</w:t>
      </w:r>
      <w:proofErr w:type="spellEnd"/>
      <w:r w:rsidRPr="00FD72BB">
        <w:rPr>
          <w:rFonts w:ascii="Century Gothic" w:hAnsi="Century Gothic" w:cs="Arial"/>
        </w:rPr>
        <w:t xml:space="preserve"> cuyo análisis se asocia a la investigación clínica, útiles en el marco de un ensayo clínico o de estudios preclínicos. Claramente, el objetivo es garantizar la realización con calidad apropiada de los </w:t>
      </w:r>
      <w:proofErr w:type="spellStart"/>
      <w:r w:rsidRPr="00FD72BB">
        <w:rPr>
          <w:rFonts w:ascii="Century Gothic" w:hAnsi="Century Gothic" w:cs="Arial"/>
        </w:rPr>
        <w:t>biomarcadores</w:t>
      </w:r>
      <w:proofErr w:type="spellEnd"/>
      <w:r w:rsidRPr="00FD72BB">
        <w:rPr>
          <w:rFonts w:ascii="Century Gothic" w:hAnsi="Century Gothic" w:cs="Arial"/>
        </w:rPr>
        <w:t xml:space="preserve"> de interés clínico aunque se debe tener en cuenta que no siempre es fácil distinguirlos y la evolución de la investigación puede cambiar la clasificación muy rápidamente, por lo que se deberían instrumentalizar estrategias que </w:t>
      </w:r>
      <w:r w:rsidRPr="00FD72BB">
        <w:rPr>
          <w:rFonts w:ascii="Century Gothic" w:hAnsi="Century Gothic" w:cs="Arial"/>
        </w:rPr>
        <w:lastRenderedPageBreak/>
        <w:t xml:space="preserve">faciliten la adaptación rápida a las nuevas indicaciones que puedan surgir en los próximos años. Cuando los </w:t>
      </w:r>
      <w:proofErr w:type="spellStart"/>
      <w:r w:rsidRPr="00FD72BB">
        <w:rPr>
          <w:rFonts w:ascii="Century Gothic" w:hAnsi="Century Gothic" w:cs="Arial"/>
        </w:rPr>
        <w:t>biomarcadores</w:t>
      </w:r>
      <w:proofErr w:type="spellEnd"/>
      <w:r w:rsidRPr="00FD72BB">
        <w:rPr>
          <w:rFonts w:ascii="Century Gothic" w:hAnsi="Century Gothic" w:cs="Arial"/>
        </w:rPr>
        <w:t xml:space="preserve"> están relacionados con la decisión de administrar un fármaco, estos se determinan en la aprobación de la indicación por parte de la Agencia Española del Medicamento. </w:t>
      </w:r>
    </w:p>
    <w:p w:rsidR="00EC7C50" w:rsidRDefault="00BA4CEA" w:rsidP="00BA4CEA">
      <w:pPr>
        <w:spacing w:after="200" w:line="288" w:lineRule="auto"/>
        <w:contextualSpacing/>
        <w:jc w:val="both"/>
        <w:rPr>
          <w:rFonts w:ascii="Century Gothic" w:hAnsi="Century Gothic" w:cs="Arial"/>
          <w:lang w:val="en-US"/>
        </w:rPr>
      </w:pPr>
      <w:r w:rsidRPr="00FD72BB">
        <w:rPr>
          <w:rFonts w:ascii="Century Gothic" w:hAnsi="Century Gothic" w:cs="Arial"/>
        </w:rPr>
        <w:t xml:space="preserve">Debido a la importancia del diagnóstico molecular, hay países que han llevado a cabo iniciativas singulares para apoyar el desarrollo de la denominada medicina de precisión que tiene como eje fundamental el conocimiento de estos </w:t>
      </w:r>
      <w:proofErr w:type="spellStart"/>
      <w:r w:rsidRPr="00FD72BB">
        <w:rPr>
          <w:rFonts w:ascii="Century Gothic" w:hAnsi="Century Gothic" w:cs="Arial"/>
        </w:rPr>
        <w:t>biomarcadores</w:t>
      </w:r>
      <w:proofErr w:type="spellEnd"/>
      <w:r w:rsidRPr="00FD72BB">
        <w:rPr>
          <w:rFonts w:ascii="Century Gothic" w:hAnsi="Century Gothic" w:cs="Arial"/>
        </w:rPr>
        <w:t>, siendo el caso más interesante el de Francia (ww.inca.fr). En este país, se ha implantado un programa financiado por el Instituto Nacional de Cáncer (</w:t>
      </w:r>
      <w:proofErr w:type="spellStart"/>
      <w:r w:rsidRPr="00FD72BB">
        <w:rPr>
          <w:rFonts w:ascii="Century Gothic" w:hAnsi="Century Gothic" w:cs="Arial"/>
        </w:rPr>
        <w:t>INCa</w:t>
      </w:r>
      <w:proofErr w:type="spellEnd"/>
      <w:r w:rsidRPr="00FD72BB">
        <w:rPr>
          <w:rFonts w:ascii="Century Gothic" w:hAnsi="Century Gothic" w:cs="Arial"/>
        </w:rPr>
        <w:t xml:space="preserve">) en el que se integró una red de 20 centros para todo el territorio nacional. Esta concentración permite el acceso a todos los pacientes que tengan indicación de un </w:t>
      </w:r>
      <w:proofErr w:type="spellStart"/>
      <w:r w:rsidRPr="00FD72BB">
        <w:rPr>
          <w:rFonts w:ascii="Century Gothic" w:hAnsi="Century Gothic" w:cs="Arial"/>
        </w:rPr>
        <w:t>biomarcador</w:t>
      </w:r>
      <w:proofErr w:type="spellEnd"/>
      <w:r w:rsidRPr="00FD72BB">
        <w:rPr>
          <w:rFonts w:ascii="Century Gothic" w:hAnsi="Century Gothic" w:cs="Arial"/>
        </w:rPr>
        <w:t xml:space="preserve"> con la calidad y la experiencia clínica adecuada, además de potenciar la posibilidad de establecer programas de investigación clínica vinculados a este tipo de conocimiento. Otros países como Estados Unidos o Reino Unido han puesto en marcha iniciativas con más interés en investigación que asistencial, denominadas medicina de precisión, que se centra en ajustar con precisión los tratamientos de los pacientes definidos según subcategorías mediante conocimiento genómico (</w:t>
      </w:r>
      <w:proofErr w:type="spellStart"/>
      <w:r w:rsidRPr="00FD72BB">
        <w:rPr>
          <w:rFonts w:ascii="Century Gothic" w:hAnsi="Century Gothic" w:cs="Arial"/>
        </w:rPr>
        <w:t>National</w:t>
      </w:r>
      <w:proofErr w:type="spellEnd"/>
      <w:r w:rsidRPr="00FD72BB">
        <w:rPr>
          <w:rFonts w:ascii="Century Gothic" w:hAnsi="Century Gothic" w:cs="Arial"/>
        </w:rPr>
        <w:t xml:space="preserve"> </w:t>
      </w:r>
      <w:proofErr w:type="spellStart"/>
      <w:r w:rsidRPr="00FD72BB">
        <w:rPr>
          <w:rFonts w:ascii="Century Gothic" w:hAnsi="Century Gothic" w:cs="Arial"/>
        </w:rPr>
        <w:t>Research</w:t>
      </w:r>
      <w:proofErr w:type="spellEnd"/>
      <w:r w:rsidRPr="00FD72BB">
        <w:rPr>
          <w:rFonts w:ascii="Century Gothic" w:hAnsi="Century Gothic" w:cs="Arial"/>
        </w:rPr>
        <w:t xml:space="preserve"> Council. </w:t>
      </w:r>
      <w:r w:rsidRPr="00FD72BB">
        <w:rPr>
          <w:rFonts w:ascii="Century Gothic" w:hAnsi="Century Gothic" w:cs="Arial"/>
          <w:lang w:val="en-US"/>
        </w:rPr>
        <w:t xml:space="preserve">Towards precision medicine: Building a knowledge network and a new taxonomy of disease. Washington, DC: National Academy Press, 2011; </w:t>
      </w:r>
      <w:proofErr w:type="spellStart"/>
      <w:r w:rsidRPr="00FD72BB">
        <w:rPr>
          <w:rFonts w:ascii="Century Gothic" w:hAnsi="Century Gothic" w:cs="Arial"/>
          <w:lang w:val="en-US"/>
        </w:rPr>
        <w:t>Mosele</w:t>
      </w:r>
      <w:proofErr w:type="spellEnd"/>
      <w:r w:rsidRPr="00FD72BB">
        <w:rPr>
          <w:rFonts w:ascii="Century Gothic" w:hAnsi="Century Gothic" w:cs="Arial"/>
          <w:lang w:val="en-US"/>
        </w:rPr>
        <w:t xml:space="preserve"> F, et al. 2020; </w:t>
      </w:r>
      <w:proofErr w:type="spellStart"/>
      <w:r w:rsidRPr="00FD72BB">
        <w:rPr>
          <w:rFonts w:ascii="Century Gothic" w:hAnsi="Century Gothic" w:cs="Arial"/>
          <w:lang w:val="en-US"/>
        </w:rPr>
        <w:t>Benedikt</w:t>
      </w:r>
      <w:proofErr w:type="spellEnd"/>
      <w:r w:rsidRPr="00FD72BB">
        <w:rPr>
          <w:rFonts w:ascii="Century Gothic" w:hAnsi="Century Gothic" w:cs="Arial"/>
          <w:lang w:val="en-US"/>
        </w:rPr>
        <w:t xml:space="preserve"> C, et al. 2020; Institute of Medicine). </w:t>
      </w:r>
    </w:p>
    <w:p w:rsidR="00EC7C50" w:rsidRDefault="00BA4CEA" w:rsidP="00BA4CEA">
      <w:pPr>
        <w:spacing w:after="200" w:line="288" w:lineRule="auto"/>
        <w:contextualSpacing/>
        <w:jc w:val="both"/>
        <w:rPr>
          <w:rFonts w:ascii="Century Gothic" w:hAnsi="Century Gothic" w:cs="Arial"/>
        </w:rPr>
      </w:pPr>
      <w:r w:rsidRPr="00FD72BB">
        <w:rPr>
          <w:rFonts w:ascii="Century Gothic" w:hAnsi="Century Gothic" w:cs="Arial"/>
        </w:rPr>
        <w:t xml:space="preserve">Actualmente, en nuestro país no hay una definición clara de cómo se debe implantar la oncología de precisión en los servicios sanitarios, tampoco criterios de calidad para evaluar los resultados de estos </w:t>
      </w:r>
      <w:proofErr w:type="spellStart"/>
      <w:r w:rsidRPr="00FD72BB">
        <w:rPr>
          <w:rFonts w:ascii="Century Gothic" w:hAnsi="Century Gothic" w:cs="Arial"/>
        </w:rPr>
        <w:t>biomarcadores</w:t>
      </w:r>
      <w:proofErr w:type="spellEnd"/>
      <w:r w:rsidRPr="00FD72BB">
        <w:rPr>
          <w:rFonts w:ascii="Century Gothic" w:hAnsi="Century Gothic" w:cs="Arial"/>
        </w:rPr>
        <w:t xml:space="preserve"> ni financiación. El Senado aprobó un informe que parcialmente se refiere a esta situación. Por otro lado, las sociedades científicas de Oncología Médica, Farmacia y Anatomía Patológica han elaborado una propuesta para su implantación (Garrido P, et al. 2017). Claramente, en el marco de la Estrategia contra el cáncer se debe definir un modelo de implantación de la oncología de precisión en el SNS que permita mejorar la equidad de acceso, la calidad y evaluar sus resultados.  </w:t>
      </w:r>
    </w:p>
    <w:p w:rsidR="00EC7C50" w:rsidRDefault="00BA4CEA" w:rsidP="00BA4CEA">
      <w:pPr>
        <w:spacing w:after="200" w:line="288" w:lineRule="auto"/>
        <w:contextualSpacing/>
        <w:jc w:val="both"/>
        <w:rPr>
          <w:rFonts w:ascii="Century Gothic" w:hAnsi="Century Gothic" w:cs="Arial"/>
        </w:rPr>
      </w:pPr>
      <w:r w:rsidRPr="00FD72BB">
        <w:rPr>
          <w:rFonts w:ascii="Century Gothic" w:hAnsi="Century Gothic" w:cs="Arial"/>
          <w:color w:val="000000"/>
        </w:rPr>
        <w:t xml:space="preserve">A nivel institucional, desde el Grupo de Seguimiento de la Estrategia Nacional de Cáncer se informa de que las reuniones celebradas en el último año han estado focalizadas en la situación relativa a la pandemia del COVID-19. En ese sentido, el ministerio realizó una </w:t>
      </w:r>
      <w:r w:rsidRPr="00FD72BB">
        <w:rPr>
          <w:rFonts w:ascii="Century Gothic" w:hAnsi="Century Gothic" w:cs="Arial"/>
          <w:color w:val="000000"/>
        </w:rPr>
        <w:lastRenderedPageBreak/>
        <w:t xml:space="preserve">encuesta a las comunidades autónomas a través del comité institucional y que ha sido respondido, habiéndose priorizado toda esta temática sobre otro tipo de acciones relacionadas con la estrategia en sí. </w:t>
      </w:r>
    </w:p>
    <w:p w:rsidR="00EC7C50" w:rsidRDefault="00BA4CEA" w:rsidP="00BA4CEA">
      <w:pPr>
        <w:tabs>
          <w:tab w:val="left" w:pos="720"/>
        </w:tabs>
        <w:spacing w:line="288" w:lineRule="auto"/>
        <w:jc w:val="both"/>
        <w:rPr>
          <w:rFonts w:ascii="Century Gothic" w:hAnsi="Century Gothic"/>
        </w:rPr>
      </w:pPr>
      <w:r w:rsidRPr="00FD72BB">
        <w:rPr>
          <w:rFonts w:ascii="Century Gothic" w:hAnsi="Century Gothic"/>
        </w:rPr>
        <w:t>Es cuanto tengo el honor de informar en cumplimiento de lo dispuesto en el artículo 1</w:t>
      </w:r>
      <w:r>
        <w:rPr>
          <w:rFonts w:ascii="Century Gothic" w:hAnsi="Century Gothic"/>
        </w:rPr>
        <w:t>9</w:t>
      </w:r>
      <w:r w:rsidRPr="00FD72BB">
        <w:rPr>
          <w:rFonts w:ascii="Century Gothic" w:hAnsi="Century Gothic"/>
        </w:rPr>
        <w:t>4 del Reglamento del Parlamento de Navarra.</w:t>
      </w:r>
    </w:p>
    <w:p w:rsidR="00BA4CEA" w:rsidRPr="00FD72BB" w:rsidRDefault="00BA4CEA" w:rsidP="00BA4CEA">
      <w:pPr>
        <w:spacing w:line="288" w:lineRule="auto"/>
        <w:jc w:val="both"/>
        <w:rPr>
          <w:rFonts w:ascii="Century Gothic" w:hAnsi="Century Gothic"/>
        </w:rPr>
      </w:pPr>
    </w:p>
    <w:p w:rsidR="00EC7C50" w:rsidRDefault="00BA4CEA" w:rsidP="00BA4CEA">
      <w:pPr>
        <w:tabs>
          <w:tab w:val="left" w:pos="3780"/>
        </w:tabs>
        <w:spacing w:line="288" w:lineRule="auto"/>
        <w:jc w:val="both"/>
        <w:rPr>
          <w:rFonts w:ascii="Century Gothic" w:hAnsi="Century Gothic"/>
        </w:rPr>
      </w:pPr>
      <w:r>
        <w:rPr>
          <w:rFonts w:ascii="Century Gothic" w:hAnsi="Century Gothic"/>
        </w:rPr>
        <w:t xml:space="preserve">Pamplona, 13 </w:t>
      </w:r>
      <w:r w:rsidRPr="00FD72BB">
        <w:rPr>
          <w:rFonts w:ascii="Century Gothic" w:hAnsi="Century Gothic"/>
        </w:rPr>
        <w:t xml:space="preserve">de </w:t>
      </w:r>
      <w:r>
        <w:rPr>
          <w:rFonts w:ascii="Century Gothic" w:hAnsi="Century Gothic"/>
        </w:rPr>
        <w:t>enero de 2021.</w:t>
      </w:r>
    </w:p>
    <w:p w:rsidR="00BA4CEA" w:rsidRPr="00FD72BB" w:rsidRDefault="00BA4CEA" w:rsidP="00BA4CEA">
      <w:pPr>
        <w:spacing w:line="288" w:lineRule="auto"/>
        <w:ind w:left="567" w:right="567"/>
        <w:jc w:val="both"/>
        <w:outlineLvl w:val="0"/>
        <w:rPr>
          <w:rFonts w:ascii="Century Gothic" w:hAnsi="Century Gothic"/>
        </w:rPr>
      </w:pPr>
    </w:p>
    <w:p w:rsidR="00BA4CEA" w:rsidRPr="00FD72BB" w:rsidRDefault="00EC7C50" w:rsidP="00BA4CEA">
      <w:pPr>
        <w:spacing w:line="288" w:lineRule="auto"/>
        <w:ind w:left="567" w:right="567"/>
        <w:jc w:val="center"/>
        <w:rPr>
          <w:rFonts w:ascii="Century Gothic" w:hAnsi="Century Gothic"/>
          <w:lang w:val="pt-BR"/>
        </w:rPr>
      </w:pPr>
      <w:r>
        <w:rPr>
          <w:rFonts w:ascii="Century Gothic" w:hAnsi="Century Gothic"/>
        </w:rPr>
        <w:t xml:space="preserve">La Consejera de Salud: </w:t>
      </w:r>
      <w:r>
        <w:rPr>
          <w:rFonts w:ascii="Century Gothic" w:hAnsi="Century Gothic"/>
          <w:lang w:val="pt-BR"/>
        </w:rPr>
        <w:t xml:space="preserve">Santos </w:t>
      </w:r>
      <w:proofErr w:type="spellStart"/>
      <w:r>
        <w:rPr>
          <w:rFonts w:ascii="Century Gothic" w:hAnsi="Century Gothic"/>
          <w:lang w:val="pt-BR"/>
        </w:rPr>
        <w:t>Indurá</w:t>
      </w:r>
      <w:r w:rsidR="00BA4CEA" w:rsidRPr="00FD72BB">
        <w:rPr>
          <w:rFonts w:ascii="Century Gothic" w:hAnsi="Century Gothic"/>
          <w:lang w:val="pt-BR"/>
        </w:rPr>
        <w:t>in</w:t>
      </w:r>
      <w:proofErr w:type="spellEnd"/>
      <w:r w:rsidR="00BA4CEA" w:rsidRPr="00FD72BB">
        <w:rPr>
          <w:rFonts w:ascii="Century Gothic" w:hAnsi="Century Gothic"/>
          <w:lang w:val="pt-BR"/>
        </w:rPr>
        <w:t xml:space="preserve"> </w:t>
      </w:r>
      <w:proofErr w:type="spellStart"/>
      <w:r w:rsidR="00BA4CEA" w:rsidRPr="00FD72BB">
        <w:rPr>
          <w:rFonts w:ascii="Century Gothic" w:hAnsi="Century Gothic"/>
          <w:lang w:val="pt-BR"/>
        </w:rPr>
        <w:t>Orduna</w:t>
      </w:r>
      <w:bookmarkEnd w:id="0"/>
      <w:proofErr w:type="spellEnd"/>
    </w:p>
    <w:sectPr w:rsidR="00BA4CEA" w:rsidRPr="00FD72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CEA"/>
    <w:rsid w:val="00447931"/>
    <w:rsid w:val="005C0335"/>
    <w:rsid w:val="00BA4CEA"/>
    <w:rsid w:val="00C9732B"/>
    <w:rsid w:val="00EC7C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CE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A4CE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4CEA"/>
    <w:rPr>
      <w:rFonts w:ascii="Segoe UI" w:eastAsia="Times New Roman" w:hAnsi="Segoe UI" w:cs="Segoe UI"/>
      <w:sz w:val="18"/>
      <w:szCs w:val="1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CE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A4CE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4CEA"/>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838</Words>
  <Characters>4613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N200147</dc:creator>
  <cp:keywords/>
  <dc:description/>
  <cp:lastModifiedBy>Aranaz, Carlota</cp:lastModifiedBy>
  <cp:revision>3</cp:revision>
  <cp:lastPrinted>2021-01-13T13:00:00Z</cp:lastPrinted>
  <dcterms:created xsi:type="dcterms:W3CDTF">2021-01-13T12:53:00Z</dcterms:created>
  <dcterms:modified xsi:type="dcterms:W3CDTF">2021-02-17T12:25:00Z</dcterms:modified>
</cp:coreProperties>
</file>