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fase-aldaketak eta berrirekitzeak erabakitzeko adierazle eta parametro objektiboei buruzkoa. Galdera 2020ko abenduaren 4ko 136. Nafarroako Parlamentuko Aldizkari Ofizialean argitaratu zen.</w:t>
      </w:r>
    </w:p>
    <w:p>
      <w:pPr>
        <w:pStyle w:val="0"/>
        <w:suppressAutoHyphens w:val="false"/>
        <w:rPr>
          <w:rStyle w:val="1"/>
        </w:rPr>
      </w:pPr>
      <w:r>
        <w:rPr>
          <w:rStyle w:val="1"/>
        </w:rPr>
        <w:t xml:space="preserve">Iruñean, 2021eko urtarrilaren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10-20-PES-00322 informazio-eskaria aurkeztu du, zeinaren bidez “informazioa eskatzen baitu fase-aldaketei eta berrirekitzeei buruz”. Hona Nafarroako Gobernuko Osasuneko kontseilariak horri buruz ematen dion informazioa:</w:t>
      </w:r>
    </w:p>
    <w:p>
      <w:pPr>
        <w:pStyle w:val="0"/>
        <w:suppressAutoHyphens w:val="false"/>
        <w:rPr>
          <w:rStyle w:val="1"/>
        </w:rPr>
      </w:pPr>
      <w:r>
        <w:rPr>
          <w:rStyle w:val="1"/>
        </w:rPr>
        <w:t xml:space="preserve">Fase-aldaketak eta berrabiatzeak definitzen dituzten adierazle eta parametro objektiboak Trantsiziorako Batzordeak, Osasun Ministerioaren eta Autonomia Erkidegoen arteko Lurralde arteko Batzordeak eta Osasun Departamentuaren Jarraipen Batzordeak landu dituzte, eta Osasun Ministerioaren COVID-19aren transmisioa kontrolatzeko Erantzun Koordinatua izeneko dokumentuaren eguneraketa bat dira. Foru Gobernuak dokumentu horren autonomia-mailako egokitzapena egin du.</w:t>
      </w:r>
    </w:p>
    <w:p>
      <w:pPr>
        <w:pStyle w:val="0"/>
        <w:suppressAutoHyphens w:val="false"/>
        <w:rPr>
          <w:rStyle w:val="1"/>
        </w:rPr>
      </w:pPr>
      <w:r>
        <w:rPr>
          <w:rStyle w:val="1"/>
        </w:rPr>
        <w:t xml:space="preserve">Erabilitako parametroak, objektiboak eta komunitate bakoitzaren errealitatera egokitzeko modukoak, kontuan hartzen ari dira Nafarroako Gobernuko esparru eta departamentuen azterketa sektorialean. Hala ere, sektoreen araberako atalaseak orientagarriak dira eta aplikaziorako tarte bat dute.</w:t>
      </w:r>
    </w:p>
    <w:p>
      <w:pPr>
        <w:pStyle w:val="0"/>
        <w:suppressAutoHyphens w:val="false"/>
        <w:rPr>
          <w:rStyle w:val="1"/>
        </w:rPr>
      </w:pPr>
      <w:r>
        <w:rPr>
          <w:rStyle w:val="1"/>
        </w:rPr>
        <w:t xml:space="preserve">Erabilitako adierazleek arriskuaren araberako bost agertoki biltzen dituzte, “Normaltasunetik” hasi eta arrisku “Oso handiraino”. Bi bloketan banatzen da: lehena “Transmisio mailaren ebaluazioa” da, eta bigarrena “COVID-19agatiko laguntza-zerbitzuen erabilera maila”.</w:t>
      </w:r>
    </w:p>
    <w:p>
      <w:pPr>
        <w:pStyle w:val="0"/>
        <w:suppressAutoHyphens w:val="false"/>
        <w:rPr>
          <w:rStyle w:val="1"/>
        </w:rPr>
      </w:pPr>
      <w:r>
        <w:rPr>
          <w:rStyle w:val="1"/>
        </w:rPr>
        <w:t xml:space="preserve">Aplikazio praktikoa, sektoreka, “Alerta-mailei lotutako neurrien orientazioa” izeneko taulan agertzen da. Taula hori eremu desberdinetako ordezkariekin egindako bileretan banatu izan da.</w:t>
      </w:r>
    </w:p>
    <w:p>
      <w:pPr>
        <w:pStyle w:val="0"/>
        <w:suppressAutoHyphens w:val="false"/>
        <w:rPr>
          <w:rStyle w:val="1"/>
        </w:rPr>
      </w:pPr>
      <w:r>
        <w:rPr>
          <w:rStyle w:val="1"/>
        </w:rPr>
        <w:t xml:space="preserve">Idatziz erantzuteko galderaren formatua dela eta, ezin ditugu bi dokumentuak erantsi. Arren eskatzen dizuegu informazio hori dagokion galderaren bidez eska dezazuela, bide horretatik helarazi ahal izateko.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12an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