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Mikel Buil García jaunak aurkezturiko mozioa, zeinaren bidez Nafarroako Gobernua premiatzen baita lan egin dezan alokairuen iraunkortasun-indizea (ISA) errealitate bat izan dadin.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Mikel Buil Garcíak, Legebiltzarreko Erregelamenduan xedatuaren babesean, honako mozio hau aurkezten du, martxoaren 4ko Osoko Bilkuran eztabaidatu eta bozkatzeko.</w:t>
      </w:r>
    </w:p>
    <w:p>
      <w:pPr>
        <w:pStyle w:val="0"/>
        <w:suppressAutoHyphens w:val="false"/>
        <w:rPr>
          <w:rStyle w:val="1"/>
        </w:rPr>
      </w:pPr>
      <w:r>
        <w:rPr>
          <w:rStyle w:val="1"/>
        </w:rPr>
        <w:t xml:space="preserve">Berriki jakin dugu Nafarroan azken 5 urteotan alokatzeko etxebizitzaren prezioa ehuneko 46 inguru igo dela</w:t>
      </w:r>
    </w:p>
    <w:p>
      <w:pPr>
        <w:pStyle w:val="0"/>
        <w:suppressAutoHyphens w:val="false"/>
        <w:rPr>
          <w:rStyle w:val="1"/>
        </w:rPr>
      </w:pPr>
      <w:r>
        <w:rPr>
          <w:rStyle w:val="1"/>
        </w:rPr>
        <w:t xml:space="preserve">Oraintxe bertan Nafarroan eredu-etxebizitzaren alokairua hilabeteko 1.000 eurora hurbiltzen da, eta batzuetan hortik gora egiten du. Ezinezkoa dirudi, familia askorentzat, zenbateko horri aurre egitea, eta igoera geldiezinak zailtasun ekonomikoak sorraraziko ditu, zalantzarik gabe, beste askorentzat, pandemiarekin batera sortutako krisialdi ekonomikoagatik.</w:t>
      </w:r>
    </w:p>
    <w:p>
      <w:pPr>
        <w:pStyle w:val="0"/>
        <w:suppressAutoHyphens w:val="false"/>
        <w:rPr>
          <w:rStyle w:val="1"/>
        </w:rPr>
      </w:pPr>
      <w:r>
        <w:rPr>
          <w:rStyle w:val="1"/>
        </w:rPr>
        <w:t xml:space="preserve">Arretaz jarraitu dugu Espainiako Gobernuan izandako eztabaida, estatu mailan itundutako etxebizitzari buruzko legearen mugen gainekoa, baina foru ituna gogoratu eta sendotu behar dugu, zeinaren bidez Nafarroak, bere autogobernuari eta María Chivite sozialista lehendakaritzara eraman zuen inbestidura akordioari esker, konpromisoa hartu baitzuen alokairuen iraunkortasun-indizea sortzeko.</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Nafarroako Gobernua premiatzen du, behar diren aldez aurreko lanei eki diezaien, lortze aldera alokairuen iraunkortasun-indizea (ISA) errealitate bat izatea 2022ko urtarrilaren 1etik aurrera:</w:t>
      </w:r>
    </w:p>
    <w:p>
      <w:pPr>
        <w:pStyle w:val="0"/>
        <w:suppressAutoHyphens w:val="false"/>
        <w:rPr>
          <w:rStyle w:val="1"/>
        </w:rPr>
      </w:pPr>
      <w:r>
        <w:rPr>
          <w:rStyle w:val="1"/>
        </w:rPr>
        <w:t xml:space="preserve">– Zuzeneko zergetan (PFEZ) lehentasuna eta penalizazioa jarriz etxebizitzen alokairuari, haien errentak ISAtik behera edo gora egiten duenean.</w:t>
      </w:r>
    </w:p>
    <w:p>
      <w:pPr>
        <w:pStyle w:val="0"/>
        <w:suppressAutoHyphens w:val="false"/>
        <w:rPr>
          <w:rStyle w:val="1"/>
        </w:rPr>
      </w:pPr>
      <w:r>
        <w:rPr>
          <w:rStyle w:val="1"/>
        </w:rPr>
        <w:t xml:space="preserve">– Lehentasuna eta penalizazioa jarriz kontratu berrien errentak mantentzeari edo handitzeari, etxebizitza beraren aurreko kontratuekin alderatuta.</w:t>
      </w:r>
    </w:p>
    <w:p>
      <w:pPr>
        <w:pStyle w:val="0"/>
        <w:suppressAutoHyphens w:val="false"/>
        <w:rPr>
          <w:rStyle w:val="1"/>
        </w:rPr>
      </w:pPr>
      <w:r>
        <w:rPr>
          <w:rStyle w:val="1"/>
        </w:rPr>
        <w:t xml:space="preserve">– Etxebizitzak ISAtik gora alokatzea debekatuz, jabeen elkartearen bidez zaharberritzeko dirulaguntzak eskuratu badituzte.</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