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“Proyecto para la elaboración de un nuevo modelo de atención para los recursos de acogida (RRAA) de mujeres víctimas de violencia machista”, formulada por la Ilma. Sra. D.ª Isabel Olave Ballarena.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Isabel Olave Ballarena, miembro de las Cortes de Navarra, adscrita al Grupo Parlamentario de Navarra Suma, al amparo de lo dispuesto en el Reglamento de la Cámara, realiza la siguiente pregunta escrita. </w:t>
      </w:r>
    </w:p>
    <w:p>
      <w:pPr>
        <w:pStyle w:val="0"/>
        <w:suppressAutoHyphens w:val="false"/>
        <w:rPr>
          <w:rStyle w:val="1"/>
        </w:rPr>
      </w:pPr>
      <w:r>
        <w:rPr>
          <w:rStyle w:val="1"/>
        </w:rPr>
        <w:t xml:space="preserve">El Consejero de Presidencia, Igualdad, Función Pública e Interior, respondiendo a una petición de información de esta parlamentaria, indicaba que, a través del INAI, el Gobierno de Navarra va a presentar a las próximas convocatorias de fondos europeos Next Generation EU el “Proyecto para la elaboración de un nuevo modelo de atención para los recursos de acogida (RRAA) de mujeres víctimas de violencia machista”. </w:t>
      </w:r>
    </w:p>
    <w:p>
      <w:pPr>
        <w:pStyle w:val="0"/>
        <w:suppressAutoHyphens w:val="false"/>
        <w:rPr>
          <w:rStyle w:val="1"/>
        </w:rPr>
      </w:pPr>
      <w:r>
        <w:rPr>
          <w:rStyle w:val="1"/>
        </w:rPr>
        <w:t xml:space="preserve">En la documentación de dicho proyecto y con encabezado del INAI se recoge lo siguiente: “INAI presenta un nuevo modelo de atención con enfoque de género y feminista para los recursos de acogida de mujeres supervivientes de violencias hacia las mujeres de la Comunidad Foral de Navarra” y continúa “o lo que es lo mismo...: La Morada”. Este proyecto fue presentado por el Consejero Santos en el Ministerio de Igualdad el pasado mes de noviembre. </w:t>
      </w:r>
    </w:p>
    <w:p>
      <w:pPr>
        <w:pStyle w:val="0"/>
        <w:suppressAutoHyphens w:val="false"/>
        <w:rPr>
          <w:rStyle w:val="1"/>
        </w:rPr>
      </w:pPr>
      <w:r>
        <w:rPr>
          <w:rStyle w:val="1"/>
        </w:rPr>
        <w:t xml:space="preserve">Por otra parte, el siguiente listado recoge, a modo de ejemplo sucinto, algunas referencias de sedes del partido político Podemos, denominadas en su totalidad “La Morada”: </w:t>
      </w:r>
    </w:p>
    <w:p>
      <w:pPr>
        <w:pStyle w:val="0"/>
        <w:suppressAutoHyphens w:val="false"/>
        <w:rPr>
          <w:rStyle w:val="1"/>
        </w:rPr>
      </w:pPr>
      <w:r>
        <w:rPr>
          <w:rStyle w:val="1"/>
        </w:rPr>
        <w:t xml:space="preserve">•  La Morada Madrid. </w:t>
        <w:tab/>
        <w:t xml:space="preserve"> </w:t>
      </w:r>
    </w:p>
    <w:p>
      <w:pPr>
        <w:pStyle w:val="0"/>
        <w:suppressAutoHyphens w:val="false"/>
        <w:rPr>
          <w:rStyle w:val="1"/>
        </w:rPr>
      </w:pPr>
      <w:r>
        <w:rPr>
          <w:rStyle w:val="1"/>
        </w:rPr>
        <w:t xml:space="preserve">•  La Morada de Bilbao. </w:t>
        <w:tab/>
        <w:t xml:space="preserve"> </w:t>
      </w:r>
    </w:p>
    <w:p>
      <w:pPr>
        <w:pStyle w:val="0"/>
        <w:suppressAutoHyphens w:val="false"/>
        <w:rPr>
          <w:rStyle w:val="1"/>
        </w:rPr>
      </w:pPr>
      <w:r>
        <w:rPr>
          <w:rStyle w:val="1"/>
        </w:rPr>
        <w:t xml:space="preserve">•  La Morada de Sanse, San Sebastián de los Reyes.  </w:t>
        <w:tab/>
        <w:t xml:space="preserve"> </w:t>
      </w:r>
    </w:p>
    <w:p>
      <w:pPr>
        <w:pStyle w:val="0"/>
        <w:suppressAutoHyphens w:val="false"/>
        <w:rPr>
          <w:rStyle w:val="1"/>
        </w:rPr>
      </w:pPr>
      <w:r>
        <w:rPr>
          <w:rStyle w:val="1"/>
        </w:rPr>
        <w:t xml:space="preserve">•  La Morada, Valencia. </w:t>
        <w:tab/>
      </w:r>
    </w:p>
    <w:p>
      <w:pPr>
        <w:pStyle w:val="0"/>
        <w:suppressAutoHyphens w:val="false"/>
        <w:rPr>
          <w:rStyle w:val="1"/>
        </w:rPr>
      </w:pPr>
      <w:r>
        <w:rPr>
          <w:rStyle w:val="1"/>
        </w:rPr>
        <w:t xml:space="preserve">•  La Morada, Getafe.</w:t>
      </w:r>
    </w:p>
    <w:p>
      <w:pPr>
        <w:pStyle w:val="0"/>
        <w:suppressAutoHyphens w:val="false"/>
        <w:rPr>
          <w:rStyle w:val="1"/>
        </w:rPr>
      </w:pPr>
      <w:r>
        <w:rPr>
          <w:rStyle w:val="1"/>
        </w:rPr>
        <w:t xml:space="preserve">•  La Morada, Murcia.</w:t>
      </w:r>
    </w:p>
    <w:p>
      <w:pPr>
        <w:pStyle w:val="0"/>
        <w:suppressAutoHyphens w:val="false"/>
        <w:rPr>
          <w:rStyle w:val="1"/>
        </w:rPr>
      </w:pPr>
      <w:r>
        <w:rPr>
          <w:rStyle w:val="1"/>
        </w:rPr>
        <w:t xml:space="preserve">•  La Morada, Alcobendas.</w:t>
      </w:r>
    </w:p>
    <w:p>
      <w:pPr>
        <w:pStyle w:val="0"/>
        <w:suppressAutoHyphens w:val="false"/>
        <w:rPr>
          <w:rStyle w:val="1"/>
        </w:rPr>
      </w:pPr>
      <w:r>
        <w:rPr>
          <w:rStyle w:val="1"/>
        </w:rPr>
        <w:t xml:space="preserve">•  La Morada, Arganzuela.</w:t>
      </w:r>
    </w:p>
    <w:p>
      <w:pPr>
        <w:pStyle w:val="0"/>
        <w:suppressAutoHyphens w:val="false"/>
        <w:rPr>
          <w:rStyle w:val="1"/>
        </w:rPr>
      </w:pPr>
      <w:r>
        <w:rPr>
          <w:rStyle w:val="1"/>
        </w:rPr>
        <w:t xml:space="preserve">•  La Morada, Bilbao. </w:t>
      </w:r>
    </w:p>
    <w:p>
      <w:pPr>
        <w:pStyle w:val="0"/>
        <w:suppressAutoHyphens w:val="false"/>
        <w:rPr>
          <w:rStyle w:val="1"/>
        </w:rPr>
      </w:pPr>
      <w:r>
        <w:rPr>
          <w:rStyle w:val="1"/>
        </w:rPr>
        <w:t xml:space="preserve">•  La Morada, Andalucía. </w:t>
      </w:r>
    </w:p>
    <w:p>
      <w:pPr>
        <w:pStyle w:val="0"/>
        <w:suppressAutoHyphens w:val="false"/>
        <w:rPr>
          <w:rStyle w:val="1"/>
        </w:rPr>
      </w:pPr>
      <w:r>
        <w:rPr>
          <w:rStyle w:val="1"/>
        </w:rPr>
        <w:t xml:space="preserve">Por todo ello, este grupo parlamentario formula la siguiente pregunta escrita: </w:t>
      </w:r>
    </w:p>
    <w:p>
      <w:pPr>
        <w:pStyle w:val="0"/>
        <w:suppressAutoHyphens w:val="false"/>
        <w:rPr>
          <w:rStyle w:val="1"/>
        </w:rPr>
      </w:pPr>
      <w:r>
        <w:rPr>
          <w:rStyle w:val="1"/>
        </w:rPr>
        <w:t xml:space="preserve">¿A qué criterio obedece la decisión del nombre de este proyecto, qué departamento lo ha decidido y si el Gobierno de Navarra va a mantener esa denominación de los recursos de acogida pagados con fondos de Navarra? </w:t>
      </w:r>
    </w:p>
    <w:p>
      <w:pPr>
        <w:pStyle w:val="0"/>
        <w:suppressAutoHyphens w:val="false"/>
        <w:rPr>
          <w:rStyle w:val="1"/>
        </w:rPr>
      </w:pPr>
      <w:r>
        <w:rPr>
          <w:rStyle w:val="1"/>
        </w:rPr>
        <w:t xml:space="preserve">Navarra, a 22 de febrero de 2021 </w:t>
      </w:r>
    </w:p>
    <w:p>
      <w:pPr>
        <w:pStyle w:val="0"/>
        <w:suppressAutoHyphens w:val="false"/>
        <w:rPr>
          <w:rStyle w:val="1"/>
        </w:rPr>
      </w:pPr>
      <w:r>
        <w:rPr>
          <w:rStyle w:val="1"/>
        </w:rPr>
        <w:t xml:space="preserve">La Parlamentaria Foral: Isabel Olave Ballarena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