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restrictivas para el control de la pandemia,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Presidenta del Gobierno de Navarra para su contestación en Pleno. </w:t>
      </w:r>
    </w:p>
    <w:p>
      <w:pPr>
        <w:pStyle w:val="0"/>
        <w:suppressAutoHyphens w:val="false"/>
        <w:rPr>
          <w:rStyle w:val="1"/>
        </w:rPr>
      </w:pPr>
      <w:r>
        <w:rPr>
          <w:rStyle w:val="1"/>
        </w:rPr>
        <w:t xml:space="preserve">¿Qué criterios, umbrales y ponderación está utilizando el Gobierno de Navarra para la toma de decisiones en relación con las medidas restrictivas para el control de la pandemia? </w:t>
      </w:r>
    </w:p>
    <w:p>
      <w:pPr>
        <w:pStyle w:val="0"/>
        <w:suppressAutoHyphens w:val="false"/>
        <w:rPr>
          <w:rStyle w:val="1"/>
        </w:rPr>
      </w:pPr>
      <w:r>
        <w:rPr>
          <w:rStyle w:val="1"/>
        </w:rPr>
        <w:t xml:space="preserve">Pamplona, a 4 de marzo de 2021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