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etxebizitzaren alokairua ordaintzera bideratutako soldataren portzentajeari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  <w:spacing w:val="2.88"/>
        </w:rPr>
      </w:pPr>
      <w:r>
        <w:rPr>
          <w:rStyle w:val="1"/>
          <w:spacing w:val="2.88"/>
        </w:rPr>
        <w:t xml:space="preserve">Nafarroan alokairuko etxebizitza ordaintzera bideratzen den soldataren portzentajeari eta zenbatekoari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spacing w:val="2.88"/>
        </w:rPr>
        <w:t xml:space="preserve">– </w:t>
      </w:r>
      <w:r>
        <w:rPr>
          <w:rStyle w:val="1"/>
        </w:rPr>
        <w:t xml:space="preserve">Zeintzuk dira alokairuko etxebizitza ordaintzera bideratzen den soldataren portzentajeari dagokionez Nafarroako Gobernuak dauzkan azken datuak, adin-tarteen arabera xehakatuta?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