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6B" w:rsidRDefault="00CD4DF7" w:rsidP="00C13BFE">
      <w:pPr>
        <w:rPr>
          <w:rFonts w:cs="Arial"/>
        </w:rPr>
      </w:pPr>
      <w:r>
        <w:t xml:space="preserve">Geroa Bai talde parlamentarioari atxikitako foru parlamentari Isabel Aranburu </w:t>
      </w:r>
      <w:proofErr w:type="spellStart"/>
      <w:r>
        <w:t>Bergua</w:t>
      </w:r>
      <w:proofErr w:type="spellEnd"/>
      <w:r>
        <w:t xml:space="preserve"> andreak galdera egin du, lantegi eskoletako programak eta prestakuntzako eta enpleguko programa integratuak 2019an, 2020an eta 2021ean gauzatzeko </w:t>
      </w:r>
      <w:proofErr w:type="spellStart"/>
      <w:r>
        <w:t>dirulaguntzen</w:t>
      </w:r>
      <w:proofErr w:type="spellEnd"/>
      <w:r>
        <w:t xml:space="preserve"> deialdian aurreikusten den </w:t>
      </w:r>
      <w:proofErr w:type="spellStart"/>
      <w:r>
        <w:t>azpikontratazio</w:t>
      </w:r>
      <w:proofErr w:type="spellEnd"/>
      <w:r>
        <w:t xml:space="preserve"> prozedurari buruz (10-21/PES-00107). Hona Nafarroako Gobernuko Eskubide Sozialetako kontseilariak informatzeko duena:</w:t>
      </w:r>
    </w:p>
    <w:p w:rsidR="00967E6B" w:rsidRDefault="009D1594" w:rsidP="00C13BFE">
      <w:pPr>
        <w:autoSpaceDE w:val="0"/>
        <w:autoSpaceDN w:val="0"/>
        <w:adjustRightInd w:val="0"/>
        <w:rPr>
          <w:rFonts w:cs="Arial"/>
        </w:rPr>
      </w:pPr>
      <w:r>
        <w:t xml:space="preserve">Nafar </w:t>
      </w:r>
      <w:proofErr w:type="spellStart"/>
      <w:r>
        <w:t>Lansare-Nafarroako</w:t>
      </w:r>
      <w:proofErr w:type="spellEnd"/>
      <w:r>
        <w:t xml:space="preserve"> Enplegu Zerbitzu Publikoko zuzendari kudeatzailearen martxoaren 8ko 41E/2019 Ebazpenak </w:t>
      </w:r>
      <w:proofErr w:type="spellStart"/>
      <w:r>
        <w:t>dirulaguntzen</w:t>
      </w:r>
      <w:proofErr w:type="spellEnd"/>
      <w:r>
        <w:t xml:space="preserve"> deialdia onetsi zuen langabeei zuzendutako Lantegi Eskola programak eta Prestakuntza eta Enpleguko Programa Integratuak 2019an, 2020an eta 2021ean gauzatzeko Nafarroan. Nafar </w:t>
      </w:r>
      <w:proofErr w:type="spellStart"/>
      <w:r>
        <w:t>Lansare-Nafarroako</w:t>
      </w:r>
      <w:proofErr w:type="spellEnd"/>
      <w:r>
        <w:t xml:space="preserve"> Enplegu Zerbitzuko zuzendari kudeatzailearen urriaren 30eko 2933E/2019 Ebazpenak aldatu egin zuen deialdi hori, 7.4 oinarria gehituz, entitate onuradunek </w:t>
      </w:r>
      <w:proofErr w:type="spellStart"/>
      <w:r>
        <w:t>dirulaguntzaren</w:t>
      </w:r>
      <w:proofErr w:type="spellEnd"/>
      <w:r>
        <w:t xml:space="preserve"> xede den jardueraren zenbatekoaren % 60rainoko portzentajea azpikontratatzen ahalko dutela dioena.</w:t>
      </w:r>
    </w:p>
    <w:p w:rsidR="00967E6B" w:rsidRDefault="009D1594" w:rsidP="00C13BFE">
      <w:pPr>
        <w:autoSpaceDE w:val="0"/>
        <w:autoSpaceDN w:val="0"/>
        <w:adjustRightInd w:val="0"/>
        <w:rPr>
          <w:rFonts w:cs="Arial"/>
        </w:rPr>
      </w:pPr>
      <w:proofErr w:type="spellStart"/>
      <w:r>
        <w:t>Dirulaguntzaren</w:t>
      </w:r>
      <w:proofErr w:type="spellEnd"/>
      <w:r>
        <w:t xml:space="preserve"> eskaerarekin batera aurkezten dituzten proiektuetan, entitateek jardueraren zati bat azpikontratatzeko duten aurreikuspena azaldu behar dute. Proiektu horiek aldatu egin daitezke gerora, </w:t>
      </w:r>
      <w:proofErr w:type="spellStart"/>
      <w:r>
        <w:t>dirulaguntza</w:t>
      </w:r>
      <w:proofErr w:type="spellEnd"/>
      <w:r>
        <w:t xml:space="preserve"> kudeatzen duen unitateari aurretiaz jakinarazita, proiektuak beren benetako gauzatzeari egokitzeko.</w:t>
      </w:r>
    </w:p>
    <w:p w:rsidR="009D1594" w:rsidRDefault="009D1594" w:rsidP="00C13BFE">
      <w:pPr>
        <w:autoSpaceDE w:val="0"/>
        <w:autoSpaceDN w:val="0"/>
        <w:adjustRightInd w:val="0"/>
        <w:rPr>
          <w:rFonts w:cs="Arial"/>
        </w:rPr>
      </w:pPr>
      <w:proofErr w:type="spellStart"/>
      <w:r>
        <w:t>Azpikontratazioa</w:t>
      </w:r>
      <w:proofErr w:type="spellEnd"/>
      <w:r>
        <w:t xml:space="preserve"> egiaztatze aldera, entitate onuradunek entitate azpikontratatuarekin egindako kontratua aurkeztu behar dute, eta hor zehaztu behar dute proiektuko zer jarduera azpikontratatu dituzten eta horien zenbatekoa. </w:t>
      </w:r>
    </w:p>
    <w:p w:rsidR="00967E6B" w:rsidRDefault="00C13BFE" w:rsidP="009D1594">
      <w:pPr>
        <w:autoSpaceDE w:val="0"/>
        <w:autoSpaceDN w:val="0"/>
        <w:adjustRightInd w:val="0"/>
        <w:rPr>
          <w:rFonts w:cs="Arial"/>
        </w:rPr>
      </w:pPr>
      <w:r>
        <w:t xml:space="preserve">Jarduera azpikontratatu duten prestakuntza eta enplegu programa burutuei buruzko informazioa aurkezten da hurrengo tauletan. Lantegi eskolei buruz ez daukagu informaziorik, ez baitira amaitu.  </w:t>
      </w:r>
      <w:r>
        <w:br w:type="page"/>
      </w:r>
    </w:p>
    <w:p w:rsidR="00C13BFE" w:rsidRDefault="00C13BFE" w:rsidP="00C13BFE">
      <w:pPr>
        <w:autoSpaceDE w:val="0"/>
        <w:autoSpaceDN w:val="0"/>
        <w:adjustRightInd w:val="0"/>
        <w:rPr>
          <w:rFonts w:cs="Arial"/>
        </w:rPr>
      </w:pPr>
      <w:r>
        <w:lastRenderedPageBreak/>
        <w:t>0011-061</w:t>
      </w:r>
      <w:bookmarkStart w:id="0" w:name="_GoBack"/>
      <w:bookmarkEnd w:id="0"/>
      <w:r>
        <w:t xml:space="preserve">8-2019-000000 </w:t>
      </w:r>
      <w:proofErr w:type="spellStart"/>
      <w:r>
        <w:t>PEPIak</w:t>
      </w:r>
      <w:proofErr w:type="spellEnd"/>
      <w:r>
        <w:t>:</w:t>
      </w:r>
    </w:p>
    <w:tbl>
      <w:tblPr>
        <w:tblW w:w="10244" w:type="dxa"/>
        <w:jc w:val="center"/>
        <w:tblInd w:w="25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170"/>
        <w:gridCol w:w="4307"/>
        <w:gridCol w:w="1163"/>
        <w:gridCol w:w="1191"/>
        <w:gridCol w:w="1134"/>
        <w:gridCol w:w="1279"/>
      </w:tblGrid>
      <w:tr w:rsidR="009D1594" w:rsidRPr="00B52B40" w:rsidTr="00B52B40">
        <w:trPr>
          <w:trHeight w:val="1230"/>
          <w:jc w:val="center"/>
        </w:trPr>
        <w:tc>
          <w:tcPr>
            <w:tcW w:w="11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Entitate onuraduna</w:t>
            </w:r>
          </w:p>
        </w:tc>
        <w:tc>
          <w:tcPr>
            <w:tcW w:w="4307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PEPIaren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 xml:space="preserve"> izen komertziala</w:t>
            </w:r>
          </w:p>
        </w:tc>
        <w:tc>
          <w:tcPr>
            <w:tcW w:w="116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 xml:space="preserve">Entitate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azpikont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.</w:t>
            </w:r>
          </w:p>
        </w:tc>
        <w:tc>
          <w:tcPr>
            <w:tcW w:w="119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 xml:space="preserve">Zenbateko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azpikont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Onartua</w:t>
            </w:r>
          </w:p>
        </w:tc>
        <w:tc>
          <w:tcPr>
            <w:tcW w:w="1279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Azpikont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. ehunekoa</w:t>
            </w:r>
          </w:p>
        </w:tc>
      </w:tr>
      <w:tr w:rsidR="009D1594" w:rsidRPr="00B52B40" w:rsidTr="00B52B40">
        <w:trPr>
          <w:trHeight w:val="690"/>
          <w:jc w:val="center"/>
        </w:trPr>
        <w:tc>
          <w:tcPr>
            <w:tcW w:w="1170" w:type="dxa"/>
            <w:shd w:val="clear" w:color="auto" w:fill="D9E2F3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</w:rPr>
              <w:t>Acción Laboral</w:t>
            </w:r>
          </w:p>
        </w:tc>
        <w:tc>
          <w:tcPr>
            <w:tcW w:w="4307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Behe-tentsioko instalazio elektrikoen muntaketako eta mantentze-lanetako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 (MF0820_2)</w:t>
            </w:r>
          </w:p>
        </w:tc>
        <w:tc>
          <w:tcPr>
            <w:tcW w:w="1163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GRI-formación</w:t>
            </w:r>
            <w:proofErr w:type="spellEnd"/>
          </w:p>
        </w:tc>
        <w:tc>
          <w:tcPr>
            <w:tcW w:w="1191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33.331,50</w:t>
            </w:r>
          </w:p>
        </w:tc>
        <w:tc>
          <w:tcPr>
            <w:tcW w:w="1134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94.386,57</w:t>
            </w:r>
          </w:p>
        </w:tc>
        <w:tc>
          <w:tcPr>
            <w:tcW w:w="1279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35,31</w:t>
            </w:r>
          </w:p>
        </w:tc>
      </w:tr>
      <w:tr w:rsidR="009D1594" w:rsidRPr="00B52B40" w:rsidTr="00B52B40">
        <w:trPr>
          <w:trHeight w:val="690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</w:rPr>
              <w:t>Acción Laboral</w:t>
            </w:r>
          </w:p>
        </w:tc>
        <w:tc>
          <w:tcPr>
            <w:tcW w:w="4307" w:type="dxa"/>
            <w:shd w:val="clear" w:color="auto" w:fill="auto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Eremu irekietako eta industria-instalazioetako garbiketako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(OSOA)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GRI-orientación</w:t>
            </w:r>
            <w:proofErr w:type="spellEnd"/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30.736,20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99.937,87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30,76</w:t>
            </w:r>
          </w:p>
        </w:tc>
      </w:tr>
      <w:tr w:rsidR="009D1594" w:rsidRPr="00B52B40" w:rsidTr="00B52B40">
        <w:trPr>
          <w:trHeight w:val="690"/>
          <w:jc w:val="center"/>
        </w:trPr>
        <w:tc>
          <w:tcPr>
            <w:tcW w:w="1170" w:type="dxa"/>
            <w:shd w:val="clear" w:color="auto" w:fill="D9E2F3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</w:rPr>
              <w:t>Acción Laboral</w:t>
            </w:r>
          </w:p>
        </w:tc>
        <w:tc>
          <w:tcPr>
            <w:tcW w:w="4307" w:type="dxa"/>
            <w:shd w:val="clear" w:color="auto" w:fill="D9E2F3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Mendekotasuna duten pertsonei gizarte erakundeetan arreta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soziosanitarioa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emateko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(MF1017_2 eta MF1018_2) </w:t>
            </w:r>
          </w:p>
        </w:tc>
        <w:tc>
          <w:tcPr>
            <w:tcW w:w="1163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GRI-formación</w:t>
            </w:r>
            <w:proofErr w:type="spellEnd"/>
          </w:p>
        </w:tc>
        <w:tc>
          <w:tcPr>
            <w:tcW w:w="1191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44.682,00</w:t>
            </w:r>
          </w:p>
        </w:tc>
        <w:tc>
          <w:tcPr>
            <w:tcW w:w="1134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105.124,17</w:t>
            </w:r>
          </w:p>
        </w:tc>
        <w:tc>
          <w:tcPr>
            <w:tcW w:w="1279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42,50</w:t>
            </w:r>
          </w:p>
        </w:tc>
      </w:tr>
      <w:tr w:rsidR="009D1594" w:rsidRPr="00B52B40" w:rsidTr="00B52B40">
        <w:trPr>
          <w:trHeight w:val="690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</w:rPr>
              <w:t>Acción Laboral</w:t>
            </w:r>
          </w:p>
        </w:tc>
        <w:tc>
          <w:tcPr>
            <w:tcW w:w="4307" w:type="dxa"/>
            <w:shd w:val="clear" w:color="auto" w:fill="auto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Salmenta jardueretako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(MF0240_2)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GRI-orientación</w:t>
            </w:r>
            <w:proofErr w:type="spellEnd"/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29.804,80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89.586,53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33,27</w:t>
            </w:r>
          </w:p>
        </w:tc>
      </w:tr>
      <w:tr w:rsidR="009D1594" w:rsidRPr="00B52B40" w:rsidTr="00B52B40">
        <w:trPr>
          <w:trHeight w:val="690"/>
          <w:jc w:val="center"/>
        </w:trPr>
        <w:tc>
          <w:tcPr>
            <w:tcW w:w="1170" w:type="dxa"/>
            <w:shd w:val="clear" w:color="auto" w:fill="D9E2F3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</w:rPr>
              <w:t>Acción Laboral</w:t>
            </w:r>
          </w:p>
        </w:tc>
        <w:tc>
          <w:tcPr>
            <w:tcW w:w="4307" w:type="dxa"/>
            <w:shd w:val="clear" w:color="auto" w:fill="D9E2F3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Behe-tentsioko instalazio elektrikoen muntaketako eta mantentze-lanetako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 (MF0820_2)</w:t>
            </w:r>
          </w:p>
        </w:tc>
        <w:tc>
          <w:tcPr>
            <w:tcW w:w="1163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GRI-formación</w:t>
            </w:r>
            <w:proofErr w:type="spellEnd"/>
          </w:p>
        </w:tc>
        <w:tc>
          <w:tcPr>
            <w:tcW w:w="1191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33.331,50</w:t>
            </w:r>
          </w:p>
        </w:tc>
        <w:tc>
          <w:tcPr>
            <w:tcW w:w="1134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99.747,37</w:t>
            </w:r>
          </w:p>
        </w:tc>
        <w:tc>
          <w:tcPr>
            <w:tcW w:w="1279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33,42</w:t>
            </w:r>
          </w:p>
        </w:tc>
      </w:tr>
      <w:tr w:rsidR="009D1594" w:rsidRPr="00B52B40" w:rsidTr="00B52B40">
        <w:trPr>
          <w:trHeight w:val="690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</w:rPr>
              <w:t>Acción Laboral</w:t>
            </w:r>
          </w:p>
        </w:tc>
        <w:tc>
          <w:tcPr>
            <w:tcW w:w="4307" w:type="dxa"/>
            <w:shd w:val="clear" w:color="auto" w:fill="auto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Eraikin eta lokaletako gainazalak eta altzariak garbitzeko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(OSOA)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GRI-orientación</w:t>
            </w:r>
            <w:proofErr w:type="spellEnd"/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30.736,20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100.039,87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30,72</w:t>
            </w:r>
          </w:p>
        </w:tc>
      </w:tr>
      <w:tr w:rsidR="009D1594" w:rsidRPr="00B52B40" w:rsidTr="00B52B40">
        <w:trPr>
          <w:trHeight w:val="690"/>
          <w:jc w:val="center"/>
        </w:trPr>
        <w:tc>
          <w:tcPr>
            <w:tcW w:w="1170" w:type="dxa"/>
            <w:shd w:val="clear" w:color="auto" w:fill="D9E2F3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</w:rPr>
              <w:t>Acción Laboral</w:t>
            </w:r>
          </w:p>
        </w:tc>
        <w:tc>
          <w:tcPr>
            <w:tcW w:w="4307" w:type="dxa"/>
            <w:shd w:val="clear" w:color="auto" w:fill="D9E2F3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Salmenta jardueretako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(MF0240_2)</w:t>
            </w:r>
          </w:p>
        </w:tc>
        <w:tc>
          <w:tcPr>
            <w:tcW w:w="1163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GRI-orientación</w:t>
            </w:r>
            <w:proofErr w:type="spellEnd"/>
          </w:p>
        </w:tc>
        <w:tc>
          <w:tcPr>
            <w:tcW w:w="1191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29.059,68</w:t>
            </w:r>
          </w:p>
        </w:tc>
        <w:tc>
          <w:tcPr>
            <w:tcW w:w="1134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93.891,87</w:t>
            </w:r>
          </w:p>
        </w:tc>
        <w:tc>
          <w:tcPr>
            <w:tcW w:w="1279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30,95</w:t>
            </w:r>
          </w:p>
        </w:tc>
      </w:tr>
      <w:tr w:rsidR="009D1594" w:rsidRPr="00B52B40" w:rsidTr="00B52B40">
        <w:trPr>
          <w:trHeight w:val="690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</w:rPr>
              <w:t>Acción Laboral</w:t>
            </w:r>
          </w:p>
        </w:tc>
        <w:tc>
          <w:tcPr>
            <w:tcW w:w="4307" w:type="dxa"/>
            <w:shd w:val="clear" w:color="auto" w:fill="auto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Mendekotasuna duten pertsonei gizarte erakundeetan arreta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soziosanitarioa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emateko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(MF1019_2)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GRI-orientación</w:t>
            </w:r>
            <w:proofErr w:type="spellEnd"/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30.736,20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104.395,57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29,44</w:t>
            </w:r>
          </w:p>
        </w:tc>
      </w:tr>
      <w:tr w:rsidR="009D1594" w:rsidRPr="00B52B40" w:rsidTr="00B52B40">
        <w:trPr>
          <w:trHeight w:val="690"/>
          <w:jc w:val="center"/>
        </w:trPr>
        <w:tc>
          <w:tcPr>
            <w:tcW w:w="1170" w:type="dxa"/>
            <w:shd w:val="clear" w:color="auto" w:fill="D9E2F3"/>
            <w:vAlign w:val="center"/>
            <w:hideMark/>
          </w:tcPr>
          <w:p w:rsidR="009D1594" w:rsidRPr="009D1594" w:rsidRDefault="00967E6B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</w:rPr>
              <w:t>Acción Laboral</w:t>
            </w:r>
          </w:p>
        </w:tc>
        <w:tc>
          <w:tcPr>
            <w:tcW w:w="4307" w:type="dxa"/>
            <w:shd w:val="clear" w:color="auto" w:fill="D9E2F3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Mendekotasuna duten pertsonei gizarte erakundeetan arreta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soziosanitarioa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emateko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(MF1017_2 eta MF1018_2)</w:t>
            </w:r>
          </w:p>
        </w:tc>
        <w:tc>
          <w:tcPr>
            <w:tcW w:w="1163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GRI-formación</w:t>
            </w:r>
            <w:proofErr w:type="spellEnd"/>
          </w:p>
        </w:tc>
        <w:tc>
          <w:tcPr>
            <w:tcW w:w="1191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44.682,00</w:t>
            </w:r>
          </w:p>
        </w:tc>
        <w:tc>
          <w:tcPr>
            <w:tcW w:w="1134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111.097,87</w:t>
            </w:r>
          </w:p>
        </w:tc>
        <w:tc>
          <w:tcPr>
            <w:tcW w:w="1279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40,22</w:t>
            </w:r>
          </w:p>
        </w:tc>
      </w:tr>
      <w:tr w:rsidR="009D1594" w:rsidRPr="00B52B40" w:rsidTr="00B52B40">
        <w:trPr>
          <w:trHeight w:val="690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</w:rPr>
              <w:t>Acción Laboral</w:t>
            </w:r>
          </w:p>
        </w:tc>
        <w:tc>
          <w:tcPr>
            <w:tcW w:w="4307" w:type="dxa"/>
            <w:shd w:val="clear" w:color="auto" w:fill="auto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Mendekotasuna duten pertsonei gizarte erakundeetan arreta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soziosanitarioa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emateko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(MF1017_2 eta MF1018_2)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GRI-formación</w:t>
            </w:r>
            <w:proofErr w:type="spellEnd"/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44.682,00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101.141,70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44,18</w:t>
            </w:r>
          </w:p>
        </w:tc>
      </w:tr>
      <w:tr w:rsidR="009D1594" w:rsidRPr="00B52B40" w:rsidTr="00B52B40">
        <w:trPr>
          <w:trHeight w:val="690"/>
          <w:jc w:val="center"/>
        </w:trPr>
        <w:tc>
          <w:tcPr>
            <w:tcW w:w="1170" w:type="dxa"/>
            <w:shd w:val="clear" w:color="auto" w:fill="D9E2F3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</w:rPr>
              <w:t>Acción Laboral</w:t>
            </w:r>
          </w:p>
        </w:tc>
        <w:tc>
          <w:tcPr>
            <w:tcW w:w="4307" w:type="dxa"/>
            <w:shd w:val="clear" w:color="auto" w:fill="D9E2F3"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Behe-tentsioko instalazio elektrikoen muntaketako eta mantentze-lanetako </w:t>
            </w:r>
            <w:proofErr w:type="spellStart"/>
            <w:r>
              <w:rPr>
                <w:rFonts w:ascii="Calibri" w:hAnsi="Calibri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sz w:val="20"/>
                <w:szCs w:val="22"/>
              </w:rPr>
              <w:t xml:space="preserve">  (MF0820_2)</w:t>
            </w:r>
          </w:p>
        </w:tc>
        <w:tc>
          <w:tcPr>
            <w:tcW w:w="1163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GRI-formación</w:t>
            </w:r>
            <w:proofErr w:type="spellEnd"/>
          </w:p>
        </w:tc>
        <w:tc>
          <w:tcPr>
            <w:tcW w:w="1191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30.321,00</w:t>
            </w:r>
          </w:p>
        </w:tc>
        <w:tc>
          <w:tcPr>
            <w:tcW w:w="1134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90.812,70</w:t>
            </w:r>
          </w:p>
        </w:tc>
        <w:tc>
          <w:tcPr>
            <w:tcW w:w="1279" w:type="dxa"/>
            <w:shd w:val="clear" w:color="auto" w:fill="D9E2F3"/>
            <w:noWrap/>
            <w:vAlign w:val="center"/>
            <w:hideMark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33,39</w:t>
            </w:r>
          </w:p>
        </w:tc>
      </w:tr>
    </w:tbl>
    <w:p w:rsidR="00967E6B" w:rsidRDefault="00967E6B" w:rsidP="008768AC">
      <w:pPr>
        <w:rPr>
          <w:rFonts w:cs="Arial"/>
        </w:rPr>
      </w:pPr>
    </w:p>
    <w:p w:rsidR="009D1594" w:rsidRDefault="00C13BFE" w:rsidP="008768AC">
      <w:pPr>
        <w:rPr>
          <w:rFonts w:cs="Arial"/>
        </w:rPr>
      </w:pPr>
      <w:r>
        <w:br w:type="page"/>
      </w:r>
    </w:p>
    <w:p w:rsidR="0068120C" w:rsidRDefault="00C13BFE" w:rsidP="008768AC">
      <w:pPr>
        <w:rPr>
          <w:rFonts w:cs="Arial"/>
        </w:rPr>
      </w:pPr>
      <w:r>
        <w:lastRenderedPageBreak/>
        <w:t xml:space="preserve">0011-3326-2019-000000 </w:t>
      </w:r>
      <w:proofErr w:type="spellStart"/>
      <w:r>
        <w:t>PEPIak</w:t>
      </w:r>
      <w:proofErr w:type="spellEnd"/>
      <w:r>
        <w:t>:</w:t>
      </w:r>
    </w:p>
    <w:tbl>
      <w:tblPr>
        <w:tblW w:w="10124" w:type="dxa"/>
        <w:jc w:val="center"/>
        <w:tblInd w:w="25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248"/>
        <w:gridCol w:w="3914"/>
        <w:gridCol w:w="1276"/>
        <w:gridCol w:w="1276"/>
        <w:gridCol w:w="1276"/>
        <w:gridCol w:w="1134"/>
      </w:tblGrid>
      <w:tr w:rsidR="009D1594" w:rsidRPr="00B52B40" w:rsidTr="00B52B40">
        <w:trPr>
          <w:trHeight w:val="841"/>
          <w:jc w:val="center"/>
        </w:trPr>
        <w:tc>
          <w:tcPr>
            <w:tcW w:w="12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:rsidR="009D1594" w:rsidRPr="00B52B40" w:rsidRDefault="00C13BFE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Entitate onuraduna</w:t>
            </w:r>
          </w:p>
        </w:tc>
        <w:tc>
          <w:tcPr>
            <w:tcW w:w="391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:rsidR="009D1594" w:rsidRPr="00B52B40" w:rsidRDefault="00C13BFE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Ikastaroaren izena zabalkunderako</w:t>
            </w:r>
          </w:p>
        </w:tc>
        <w:tc>
          <w:tcPr>
            <w:tcW w:w="1276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:rsidR="009D1594" w:rsidRPr="00B52B40" w:rsidRDefault="00C13BFE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 xml:space="preserve">Entitate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azpikont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:rsidR="009D1594" w:rsidRPr="00B52B40" w:rsidRDefault="00C13BFE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 xml:space="preserve">Zenbateko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azpikont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:rsidR="009D1594" w:rsidRPr="00B52B40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Onartua</w:t>
            </w:r>
          </w:p>
        </w:tc>
        <w:tc>
          <w:tcPr>
            <w:tcW w:w="1134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  <w:hideMark/>
          </w:tcPr>
          <w:p w:rsidR="009D1594" w:rsidRPr="00B52B40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Azpikont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. ehunekoa</w:t>
            </w:r>
          </w:p>
        </w:tc>
      </w:tr>
      <w:tr w:rsidR="009D1594" w:rsidRPr="00B52B40" w:rsidTr="00B52B40">
        <w:trPr>
          <w:trHeight w:val="690"/>
          <w:jc w:val="center"/>
        </w:trPr>
        <w:tc>
          <w:tcPr>
            <w:tcW w:w="1248" w:type="dxa"/>
            <w:shd w:val="clear" w:color="auto" w:fill="D9E2F3"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ELKARTE FUNDAZIOA</w:t>
            </w:r>
          </w:p>
        </w:tc>
        <w:tc>
          <w:tcPr>
            <w:tcW w:w="3914" w:type="dxa"/>
            <w:shd w:val="clear" w:color="auto" w:fill="D9E2F3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Fabrikazio mekanikoko eragiketa osagarrietako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2"/>
              </w:rPr>
              <w:t>, PZ1, osoa.</w:t>
            </w:r>
            <w:r>
              <w:rPr>
                <w:rFonts w:ascii="Calibri" w:hAnsi="Calibri"/>
                <w:color w:val="000000"/>
                <w:sz w:val="20"/>
                <w:szCs w:val="22"/>
              </w:rPr>
              <w:br/>
              <w:t xml:space="preserve">Etxeko iturgintza eta berokuntza-girotze eragiketetako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2"/>
              </w:rPr>
              <w:t>, PZ1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CFP- PRL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12.928,00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197.595,00</w:t>
            </w:r>
          </w:p>
        </w:tc>
        <w:tc>
          <w:tcPr>
            <w:tcW w:w="1134" w:type="dxa"/>
            <w:shd w:val="clear" w:color="auto" w:fill="D9E2F3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6,54</w:t>
            </w:r>
          </w:p>
        </w:tc>
      </w:tr>
      <w:tr w:rsidR="00C13BFE" w:rsidRPr="00B52B40" w:rsidTr="00B52B40">
        <w:trPr>
          <w:trHeight w:val="690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ELKARTE FUNDAZIOA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Fabrikazio mekanikoko eragiketa osagarrietako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, PZ1, osoa.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CFP- PRL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12.928,00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137.038,20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9,43</w:t>
            </w:r>
          </w:p>
        </w:tc>
      </w:tr>
      <w:tr w:rsidR="009D1594" w:rsidRPr="00B52B40" w:rsidTr="00B52B40">
        <w:trPr>
          <w:trHeight w:val="690"/>
          <w:jc w:val="center"/>
        </w:trPr>
        <w:tc>
          <w:tcPr>
            <w:tcW w:w="1248" w:type="dxa"/>
            <w:shd w:val="clear" w:color="auto" w:fill="D9E2F3"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ELKARTE FUNDAZIOA</w:t>
            </w:r>
          </w:p>
        </w:tc>
        <w:tc>
          <w:tcPr>
            <w:tcW w:w="3914" w:type="dxa"/>
            <w:shd w:val="clear" w:color="auto" w:fill="D9E2F3"/>
            <w:vAlign w:val="center"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Fabrikazio mekanikoko eragiketa osagarrietako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2"/>
              </w:rPr>
              <w:t>, PZ1, osoa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CFP- PRL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12.928,00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137.038,20</w:t>
            </w:r>
          </w:p>
        </w:tc>
        <w:tc>
          <w:tcPr>
            <w:tcW w:w="1134" w:type="dxa"/>
            <w:shd w:val="clear" w:color="auto" w:fill="D9E2F3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9,43</w:t>
            </w:r>
          </w:p>
        </w:tc>
      </w:tr>
      <w:tr w:rsidR="00C13BFE" w:rsidRPr="00B52B40" w:rsidTr="00B52B40">
        <w:trPr>
          <w:trHeight w:val="690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"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EU-RO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-DI" KULTUR ELKARTEA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Salmenta jardueretako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2"/>
              </w:rPr>
              <w:t>, PZ2, osoa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Rodoia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Formación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45.000,00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159.657,00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28,19</w:t>
            </w:r>
          </w:p>
        </w:tc>
      </w:tr>
      <w:tr w:rsidR="009D1594" w:rsidRPr="00B52B40" w:rsidTr="00B52B40">
        <w:trPr>
          <w:trHeight w:val="690"/>
          <w:jc w:val="center"/>
        </w:trPr>
        <w:tc>
          <w:tcPr>
            <w:tcW w:w="1248" w:type="dxa"/>
            <w:shd w:val="clear" w:color="auto" w:fill="D9E2F3"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"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EU-RO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-DI" KULTUR ELKARTEA</w:t>
            </w:r>
          </w:p>
        </w:tc>
        <w:tc>
          <w:tcPr>
            <w:tcW w:w="3914" w:type="dxa"/>
            <w:shd w:val="clear" w:color="auto" w:fill="D9E2F3"/>
            <w:vAlign w:val="center"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Biltegiko eragiketa osagarrietako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, PZ1, osoa </w:t>
            </w:r>
            <w:r>
              <w:rPr>
                <w:rFonts w:ascii="Calibri" w:hAnsi="Calibri"/>
                <w:color w:val="000000"/>
                <w:sz w:val="20"/>
                <w:szCs w:val="22"/>
              </w:rPr>
              <w:br/>
              <w:t xml:space="preserve">Merkataritzako jarduera osagarrietako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2"/>
              </w:rPr>
              <w:t>, PZ1, osoa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Rodoia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Formación</w:t>
            </w:r>
            <w:proofErr w:type="spellEnd"/>
          </w:p>
        </w:tc>
        <w:tc>
          <w:tcPr>
            <w:tcW w:w="1276" w:type="dxa"/>
            <w:shd w:val="clear" w:color="auto" w:fill="D9E2F3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30.321,00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137.643,32</w:t>
            </w:r>
          </w:p>
        </w:tc>
        <w:tc>
          <w:tcPr>
            <w:tcW w:w="1134" w:type="dxa"/>
            <w:shd w:val="clear" w:color="auto" w:fill="D9E2F3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22,03</w:t>
            </w:r>
          </w:p>
        </w:tc>
      </w:tr>
      <w:tr w:rsidR="00C13BFE" w:rsidRPr="00B52B40" w:rsidTr="00B52B40">
        <w:trPr>
          <w:trHeight w:val="690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COCEMFE NAVARRA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9D1594" w:rsidRPr="009D1594" w:rsidRDefault="009D1594" w:rsidP="00B52B40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Biltegiko jarduera osagarrietako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PEPIa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2"/>
              </w:rPr>
              <w:t>: biltegiaren kudeaketa manufaktura-industrian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Amimet-Formación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26.994,26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67.736,36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1594" w:rsidRPr="009D1594" w:rsidRDefault="009D1594" w:rsidP="00B52B4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39,85</w:t>
            </w:r>
          </w:p>
        </w:tc>
      </w:tr>
    </w:tbl>
    <w:p w:rsidR="00967E6B" w:rsidRDefault="00967E6B" w:rsidP="008768AC">
      <w:pPr>
        <w:rPr>
          <w:rFonts w:cs="Arial"/>
        </w:rPr>
      </w:pPr>
    </w:p>
    <w:p w:rsidR="00967E6B" w:rsidRDefault="0006150C" w:rsidP="00CA544A">
      <w:pPr>
        <w:spacing w:after="120"/>
        <w:rPr>
          <w:rFonts w:cs="Arial"/>
        </w:rPr>
      </w:pPr>
      <w:r>
        <w:t>Hori guztia jakinarazten dizut Nafarroako Parlamentuko Erregelamenduaren 194. artikulua betez.</w:t>
      </w:r>
    </w:p>
    <w:p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>
        <w:t>Iruñean, 2021eko martxoaren 29an</w:t>
      </w:r>
    </w:p>
    <w:p w:rsidR="00967E6B" w:rsidRPr="00B232C8" w:rsidRDefault="00CD4DF7" w:rsidP="00B232C8">
      <w:pPr>
        <w:spacing w:after="120"/>
        <w:jc w:val="center"/>
        <w:rPr>
          <w:rFonts w:cs="Arial"/>
        </w:rPr>
      </w:pPr>
      <w:r>
        <w:t>Eskubide Sozialetako kontseilaria: María Carmen Maeztu Villafranca</w:t>
      </w:r>
    </w:p>
    <w:sectPr w:rsidR="00967E6B" w:rsidRPr="00B232C8" w:rsidSect="00801B66">
      <w:headerReference w:type="default" r:id="rId8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13" w:rsidRDefault="00237D13">
      <w:r>
        <w:separator/>
      </w:r>
    </w:p>
  </w:endnote>
  <w:endnote w:type="continuationSeparator" w:id="0">
    <w:p w:rsidR="00237D13" w:rsidRDefault="0023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13" w:rsidRDefault="00237D13">
      <w:r>
        <w:separator/>
      </w:r>
    </w:p>
  </w:footnote>
  <w:footnote w:type="continuationSeparator" w:id="0">
    <w:p w:rsidR="00237D13" w:rsidRDefault="00237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E6B" w:rsidRDefault="00967E6B" w:rsidP="00801B66">
    <w:pPr>
      <w:pStyle w:val="Encabezado"/>
      <w:tabs>
        <w:tab w:val="clear" w:pos="8504"/>
        <w:tab w:val="right" w:pos="9072"/>
      </w:tabs>
      <w:ind w:left="-1620" w:right="-568"/>
      <w:jc w:val="right"/>
      <w:rPr>
        <w:noProof/>
      </w:rPr>
    </w:pPr>
  </w:p>
  <w:p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D2F3E"/>
    <w:rsid w:val="001D6EBA"/>
    <w:rsid w:val="00225C7D"/>
    <w:rsid w:val="00237D13"/>
    <w:rsid w:val="00241092"/>
    <w:rsid w:val="00252442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62A9A"/>
    <w:rsid w:val="00493BB2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801B66"/>
    <w:rsid w:val="0080339F"/>
    <w:rsid w:val="008230A2"/>
    <w:rsid w:val="00832DA8"/>
    <w:rsid w:val="00842D01"/>
    <w:rsid w:val="008436CF"/>
    <w:rsid w:val="008442C4"/>
    <w:rsid w:val="00865890"/>
    <w:rsid w:val="008768AC"/>
    <w:rsid w:val="008A7332"/>
    <w:rsid w:val="008B7359"/>
    <w:rsid w:val="008F0A77"/>
    <w:rsid w:val="00967E6B"/>
    <w:rsid w:val="00970F18"/>
    <w:rsid w:val="00980A6E"/>
    <w:rsid w:val="009A245D"/>
    <w:rsid w:val="009C1765"/>
    <w:rsid w:val="009D1594"/>
    <w:rsid w:val="009D7AC7"/>
    <w:rsid w:val="009F57C2"/>
    <w:rsid w:val="00A159EF"/>
    <w:rsid w:val="00A267C2"/>
    <w:rsid w:val="00A90748"/>
    <w:rsid w:val="00AA3582"/>
    <w:rsid w:val="00AA6EA2"/>
    <w:rsid w:val="00AB306A"/>
    <w:rsid w:val="00AF1536"/>
    <w:rsid w:val="00B123A0"/>
    <w:rsid w:val="00B232C8"/>
    <w:rsid w:val="00B52B40"/>
    <w:rsid w:val="00B6563A"/>
    <w:rsid w:val="00B67C4B"/>
    <w:rsid w:val="00BB1097"/>
    <w:rsid w:val="00BF65B2"/>
    <w:rsid w:val="00C01B8F"/>
    <w:rsid w:val="00C069DD"/>
    <w:rsid w:val="00C13BFE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C69C5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C2615"/>
    <w:rsid w:val="00DD3F5C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customStyle="1" w:styleId="Tabladecuadrcula4-nfasis5">
    <w:name w:val="Tabla de cuadrícula 4 - Énfasis 5"/>
    <w:basedOn w:val="Tablanormal"/>
    <w:uiPriority w:val="49"/>
    <w:rsid w:val="009D159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Textodeglobo">
    <w:name w:val="Balloon Text"/>
    <w:basedOn w:val="Normal"/>
    <w:link w:val="TextodegloboCar"/>
    <w:rsid w:val="00A267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26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customStyle="1" w:styleId="Tabladecuadrcula4-nfasis5">
    <w:name w:val="Tabla de cuadrícula 4 - Énfasis 5"/>
    <w:basedOn w:val="Tablanormal"/>
    <w:uiPriority w:val="49"/>
    <w:rsid w:val="009D159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Textodeglobo">
    <w:name w:val="Balloon Text"/>
    <w:basedOn w:val="Normal"/>
    <w:link w:val="TextodegloboCar"/>
    <w:rsid w:val="00A267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26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Iñaki De Santiago</cp:lastModifiedBy>
  <cp:revision>2</cp:revision>
  <cp:lastPrinted>2015-09-24T13:01:00Z</cp:lastPrinted>
  <dcterms:created xsi:type="dcterms:W3CDTF">2021-05-18T08:06:00Z</dcterms:created>
  <dcterms:modified xsi:type="dcterms:W3CDTF">2021-05-18T08:06:00Z</dcterms:modified>
</cp:coreProperties>
</file>