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C83" w:rsidRDefault="00EC4026" w:rsidP="00EC4026">
      <w:pPr>
        <w:spacing w:after="0" w:line="360" w:lineRule="auto"/>
        <w:jc w:val="both"/>
        <w:rPr>
          <w:rFonts w:ascii="Arial" w:eastAsia="Times New Roman" w:hAnsi="Arial" w:cs="Arial"/>
          <w:sz w:val="24"/>
          <w:szCs w:val="24"/>
        </w:rPr>
      </w:pPr>
      <w:bookmarkStart w:id="0" w:name="_GoBack"/>
      <w:bookmarkEnd w:id="0"/>
      <w:r>
        <w:rPr>
          <w:rFonts w:ascii="Arial" w:hAnsi="Arial"/>
          <w:sz w:val="24"/>
          <w:szCs w:val="24"/>
        </w:rPr>
        <w:t xml:space="preserve">EH Bildu Nafarroa talde parlamentarioari atxikitako foru parlamentari Adolfo Araiz </w:t>
      </w:r>
      <w:proofErr w:type="spellStart"/>
      <w:r>
        <w:rPr>
          <w:rFonts w:ascii="Arial" w:hAnsi="Arial"/>
          <w:sz w:val="24"/>
          <w:szCs w:val="24"/>
        </w:rPr>
        <w:t>Flamarique</w:t>
      </w:r>
      <w:proofErr w:type="spellEnd"/>
      <w:r>
        <w:rPr>
          <w:rFonts w:ascii="Arial" w:hAnsi="Arial"/>
          <w:sz w:val="24"/>
          <w:szCs w:val="24"/>
        </w:rPr>
        <w:t xml:space="preserve"> jaunak idatziz erantzuteko galdera egin du, Nafarroako Parlamentuko 2160 irteera-zenbakiarekin erregistratua, 2021eko martxoaren 8an (10-21/PES-120 galdera), Gobernuaren 2021eko otsailaren 17ko erabakiaren bidez onetsitako zorpetze-eragiketak birfinantzatzeari buruz. Hona Ekonomia eta Ogasuneko kontseilariak ematen dion informazioa:</w:t>
      </w:r>
    </w:p>
    <w:p w:rsidR="00CE5C83" w:rsidRDefault="00EC4026" w:rsidP="00EC4026">
      <w:pPr>
        <w:numPr>
          <w:ilvl w:val="0"/>
          <w:numId w:val="2"/>
        </w:numPr>
        <w:spacing w:after="0" w:line="360" w:lineRule="auto"/>
        <w:jc w:val="both"/>
        <w:rPr>
          <w:rFonts w:ascii="Arial" w:eastAsia="Times New Roman" w:hAnsi="Arial" w:cs="Arial"/>
          <w:sz w:val="24"/>
          <w:szCs w:val="24"/>
        </w:rPr>
      </w:pPr>
      <w:r>
        <w:rPr>
          <w:rFonts w:ascii="Arial" w:hAnsi="Arial"/>
          <w:sz w:val="24"/>
          <w:szCs w:val="24"/>
        </w:rPr>
        <w:t>Galdetu da ea 358.083.214 euroko gehieneko zenbateko muga-egun arruntak birfinantzatzeko xedez Gobernuaren 2021eko otsailaren 17ko erabakian aurreikusten diren zorpetze-eragiketek aurrezpenik ekarriko duten horien kostu finantzarioetan. Hori dela eta, hau esan behar da:</w:t>
      </w:r>
    </w:p>
    <w:p w:rsidR="00CE5C83" w:rsidRDefault="00EC4026" w:rsidP="00EC4026">
      <w:pPr>
        <w:spacing w:after="0" w:line="360" w:lineRule="auto"/>
        <w:jc w:val="both"/>
        <w:rPr>
          <w:rFonts w:ascii="Arial" w:eastAsia="Times New Roman" w:hAnsi="Arial" w:cs="Arial"/>
          <w:sz w:val="24"/>
          <w:szCs w:val="24"/>
        </w:rPr>
      </w:pPr>
      <w:r>
        <w:rPr>
          <w:rFonts w:ascii="Arial" w:hAnsi="Arial"/>
          <w:sz w:val="24"/>
          <w:szCs w:val="24"/>
        </w:rPr>
        <w:t xml:space="preserve">Aipatu erabakiak zehazten duenez, aurtengo urterako baimendutako zorpetzea 358.083.241 eurokoa da guztira, eta horietatik 244.583.214 euro erabiliko dira aurten osorik edo zati batez </w:t>
      </w:r>
      <w:proofErr w:type="spellStart"/>
      <w:r>
        <w:rPr>
          <w:rFonts w:ascii="Arial" w:hAnsi="Arial"/>
          <w:sz w:val="24"/>
          <w:szCs w:val="24"/>
        </w:rPr>
        <w:t>mugaeguneratzen</w:t>
      </w:r>
      <w:proofErr w:type="spellEnd"/>
      <w:r>
        <w:rPr>
          <w:rFonts w:ascii="Arial" w:hAnsi="Arial"/>
          <w:sz w:val="24"/>
          <w:szCs w:val="24"/>
        </w:rPr>
        <w:t xml:space="preserve"> diren mailegu eta bonuen berriztatzea finantzatzeko. Hona hemen xehetasunak:</w:t>
      </w:r>
    </w:p>
    <w:p w:rsidR="00EC4026" w:rsidRPr="00DD3490" w:rsidRDefault="00EC4026" w:rsidP="00EC4026">
      <w:pPr>
        <w:spacing w:after="0" w:line="360" w:lineRule="auto"/>
        <w:jc w:val="both"/>
        <w:rPr>
          <w:rFonts w:eastAsia="Times New Roman" w:cs="Arial"/>
          <w:sz w:val="20"/>
          <w:szCs w:val="20"/>
        </w:rPr>
      </w:pPr>
      <w:r w:rsidRPr="00DD3490">
        <w:rPr>
          <w:sz w:val="20"/>
          <w:szCs w:val="20"/>
        </w:rPr>
        <w:t xml:space="preserve">2021ean </w:t>
      </w:r>
      <w:proofErr w:type="spellStart"/>
      <w:r w:rsidRPr="00DD3490">
        <w:rPr>
          <w:sz w:val="20"/>
          <w:szCs w:val="20"/>
        </w:rPr>
        <w:t>mugaeguneratzen</w:t>
      </w:r>
      <w:proofErr w:type="spellEnd"/>
      <w:r w:rsidRPr="00DD3490">
        <w:rPr>
          <w:sz w:val="20"/>
          <w:szCs w:val="20"/>
        </w:rPr>
        <w:t xml:space="preserve"> diren mailegu eta bonuen zerrenda</w:t>
      </w:r>
    </w:p>
    <w:tbl>
      <w:tblPr>
        <w:tblW w:w="8436" w:type="dxa"/>
        <w:tblCellMar>
          <w:left w:w="70" w:type="dxa"/>
          <w:right w:w="70" w:type="dxa"/>
        </w:tblCellMar>
        <w:tblLook w:val="04A0" w:firstRow="1" w:lastRow="0" w:firstColumn="1" w:lastColumn="0" w:noHBand="0" w:noVBand="1"/>
      </w:tblPr>
      <w:tblGrid>
        <w:gridCol w:w="2055"/>
        <w:gridCol w:w="1984"/>
        <w:gridCol w:w="1392"/>
        <w:gridCol w:w="1869"/>
        <w:gridCol w:w="1136"/>
      </w:tblGrid>
      <w:tr w:rsidR="00EC4026" w:rsidRPr="00DD3490" w:rsidTr="00DD3490">
        <w:trPr>
          <w:trHeight w:val="20"/>
        </w:trPr>
        <w:tc>
          <w:tcPr>
            <w:tcW w:w="2055" w:type="dxa"/>
            <w:tcBorders>
              <w:top w:val="single" w:sz="4" w:space="0" w:color="auto"/>
              <w:bottom w:val="single" w:sz="4" w:space="0" w:color="auto"/>
            </w:tcBorders>
            <w:shd w:val="clear" w:color="auto" w:fill="auto"/>
            <w:noWrap/>
            <w:vAlign w:val="bottom"/>
            <w:hideMark/>
          </w:tcPr>
          <w:p w:rsidR="00EC4026" w:rsidRPr="00DD3490" w:rsidRDefault="00EC4026" w:rsidP="00DD3490">
            <w:pPr>
              <w:spacing w:before="40" w:after="40" w:line="240" w:lineRule="auto"/>
              <w:rPr>
                <w:rFonts w:eastAsia="Times New Roman" w:cs="Arial"/>
                <w:bCs/>
                <w:sz w:val="18"/>
                <w:szCs w:val="18"/>
              </w:rPr>
            </w:pPr>
            <w:r w:rsidRPr="00DD3490">
              <w:rPr>
                <w:bCs/>
                <w:sz w:val="18"/>
                <w:szCs w:val="18"/>
              </w:rPr>
              <w:t>Zorra/Mailegua</w:t>
            </w:r>
          </w:p>
        </w:tc>
        <w:tc>
          <w:tcPr>
            <w:tcW w:w="1984" w:type="dxa"/>
            <w:tcBorders>
              <w:top w:val="single" w:sz="4" w:space="0" w:color="auto"/>
              <w:bottom w:val="single" w:sz="4" w:space="0" w:color="auto"/>
            </w:tcBorders>
            <w:shd w:val="clear" w:color="auto" w:fill="auto"/>
            <w:noWrap/>
            <w:vAlign w:val="bottom"/>
            <w:hideMark/>
          </w:tcPr>
          <w:p w:rsidR="00EC4026" w:rsidRPr="00DD3490" w:rsidRDefault="00EC4026" w:rsidP="00DD3490">
            <w:pPr>
              <w:spacing w:before="40" w:after="40" w:line="240" w:lineRule="auto"/>
              <w:rPr>
                <w:rFonts w:eastAsia="Times New Roman" w:cs="Arial"/>
                <w:bCs/>
                <w:sz w:val="18"/>
                <w:szCs w:val="18"/>
              </w:rPr>
            </w:pPr>
            <w:r w:rsidRPr="00DD3490">
              <w:rPr>
                <w:bCs/>
                <w:sz w:val="18"/>
                <w:szCs w:val="18"/>
              </w:rPr>
              <w:t>Titularra</w:t>
            </w:r>
          </w:p>
        </w:tc>
        <w:tc>
          <w:tcPr>
            <w:tcW w:w="1392" w:type="dxa"/>
            <w:tcBorders>
              <w:top w:val="single" w:sz="4" w:space="0" w:color="auto"/>
              <w:bottom w:val="single" w:sz="4" w:space="0" w:color="auto"/>
            </w:tcBorders>
            <w:shd w:val="clear" w:color="auto" w:fill="auto"/>
            <w:noWrap/>
            <w:vAlign w:val="bottom"/>
            <w:hideMark/>
          </w:tcPr>
          <w:p w:rsidR="00EC4026" w:rsidRPr="00DD3490" w:rsidRDefault="00EC4026" w:rsidP="00DD3490">
            <w:pPr>
              <w:spacing w:before="40" w:after="40" w:line="240" w:lineRule="auto"/>
              <w:jc w:val="right"/>
              <w:rPr>
                <w:rFonts w:eastAsia="Times New Roman" w:cs="Arial"/>
                <w:bCs/>
                <w:sz w:val="18"/>
                <w:szCs w:val="18"/>
              </w:rPr>
            </w:pPr>
            <w:r w:rsidRPr="00DD3490">
              <w:rPr>
                <w:bCs/>
                <w:sz w:val="18"/>
                <w:szCs w:val="18"/>
              </w:rPr>
              <w:t>Zenbatekoa</w:t>
            </w:r>
          </w:p>
        </w:tc>
        <w:tc>
          <w:tcPr>
            <w:tcW w:w="1869" w:type="dxa"/>
            <w:tcBorders>
              <w:top w:val="single" w:sz="4" w:space="0" w:color="auto"/>
              <w:bottom w:val="single" w:sz="4" w:space="0" w:color="auto"/>
            </w:tcBorders>
            <w:vAlign w:val="bottom"/>
          </w:tcPr>
          <w:p w:rsidR="00EC4026" w:rsidRPr="00DD3490" w:rsidRDefault="00EC4026" w:rsidP="00DD3490">
            <w:pPr>
              <w:spacing w:before="40" w:after="40" w:line="240" w:lineRule="auto"/>
              <w:jc w:val="right"/>
              <w:rPr>
                <w:rFonts w:eastAsia="Times New Roman" w:cs="Arial"/>
                <w:bCs/>
                <w:sz w:val="18"/>
                <w:szCs w:val="18"/>
              </w:rPr>
            </w:pPr>
            <w:r w:rsidRPr="00DD3490">
              <w:rPr>
                <w:bCs/>
                <w:sz w:val="18"/>
                <w:szCs w:val="18"/>
              </w:rPr>
              <w:t>Interes mota</w:t>
            </w:r>
          </w:p>
        </w:tc>
        <w:tc>
          <w:tcPr>
            <w:tcW w:w="1136" w:type="dxa"/>
            <w:tcBorders>
              <w:top w:val="single" w:sz="4" w:space="0" w:color="auto"/>
              <w:bottom w:val="single" w:sz="4" w:space="0" w:color="auto"/>
            </w:tcBorders>
            <w:shd w:val="clear" w:color="auto" w:fill="auto"/>
            <w:noWrap/>
            <w:vAlign w:val="bottom"/>
            <w:hideMark/>
          </w:tcPr>
          <w:p w:rsidR="00EC4026" w:rsidRPr="00DD3490" w:rsidRDefault="00EC4026" w:rsidP="00DD3490">
            <w:pPr>
              <w:spacing w:before="40" w:after="40" w:line="240" w:lineRule="auto"/>
              <w:jc w:val="right"/>
              <w:rPr>
                <w:rFonts w:eastAsia="Times New Roman" w:cs="Arial"/>
                <w:bCs/>
                <w:sz w:val="18"/>
                <w:szCs w:val="18"/>
              </w:rPr>
            </w:pPr>
            <w:r w:rsidRPr="00DD3490">
              <w:rPr>
                <w:bCs/>
                <w:sz w:val="18"/>
                <w:szCs w:val="18"/>
              </w:rPr>
              <w:t>Interesa (%)</w:t>
            </w:r>
          </w:p>
        </w:tc>
      </w:tr>
      <w:tr w:rsidR="00EC4026" w:rsidRPr="00DD3490" w:rsidTr="00DD3490">
        <w:trPr>
          <w:trHeight w:val="20"/>
        </w:trPr>
        <w:tc>
          <w:tcPr>
            <w:tcW w:w="2055" w:type="dxa"/>
            <w:tcBorders>
              <w:top w:val="single" w:sz="4" w:space="0" w:color="auto"/>
            </w:tcBorders>
            <w:shd w:val="clear" w:color="auto" w:fill="auto"/>
            <w:noWrap/>
            <w:vAlign w:val="bottom"/>
            <w:hideMark/>
          </w:tcPr>
          <w:p w:rsidR="00EC4026" w:rsidRPr="00DD3490" w:rsidRDefault="00EC4026" w:rsidP="00DD3490">
            <w:pPr>
              <w:spacing w:before="40" w:after="40" w:line="240" w:lineRule="auto"/>
              <w:rPr>
                <w:rFonts w:eastAsia="Times New Roman" w:cs="Arial"/>
                <w:sz w:val="18"/>
                <w:szCs w:val="18"/>
              </w:rPr>
            </w:pPr>
            <w:r w:rsidRPr="00DD3490">
              <w:rPr>
                <w:sz w:val="18"/>
                <w:szCs w:val="18"/>
              </w:rPr>
              <w:t>Zorra</w:t>
            </w:r>
          </w:p>
        </w:tc>
        <w:tc>
          <w:tcPr>
            <w:tcW w:w="1984" w:type="dxa"/>
            <w:tcBorders>
              <w:top w:val="single" w:sz="4" w:space="0" w:color="auto"/>
            </w:tcBorders>
            <w:shd w:val="clear" w:color="auto" w:fill="auto"/>
            <w:noWrap/>
            <w:vAlign w:val="bottom"/>
            <w:hideMark/>
          </w:tcPr>
          <w:p w:rsidR="00EC4026" w:rsidRPr="00DD3490" w:rsidRDefault="00EC4026" w:rsidP="00DD3490">
            <w:pPr>
              <w:spacing w:before="40" w:after="40" w:line="240" w:lineRule="auto"/>
              <w:rPr>
                <w:rFonts w:eastAsia="Times New Roman" w:cs="Arial"/>
                <w:sz w:val="18"/>
                <w:szCs w:val="18"/>
              </w:rPr>
            </w:pPr>
            <w:r w:rsidRPr="00DD3490">
              <w:rPr>
                <w:sz w:val="18"/>
                <w:szCs w:val="18"/>
              </w:rPr>
              <w:t>Nafarroako Gobernua</w:t>
            </w:r>
          </w:p>
        </w:tc>
        <w:tc>
          <w:tcPr>
            <w:tcW w:w="1392" w:type="dxa"/>
            <w:tcBorders>
              <w:top w:val="single" w:sz="4" w:space="0" w:color="auto"/>
            </w:tcBorders>
            <w:shd w:val="clear" w:color="auto" w:fill="auto"/>
            <w:noWrap/>
            <w:vAlign w:val="bottom"/>
            <w:hideMark/>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207.190.000,00</w:t>
            </w:r>
          </w:p>
        </w:tc>
        <w:tc>
          <w:tcPr>
            <w:tcW w:w="1869" w:type="dxa"/>
            <w:tcBorders>
              <w:top w:val="single" w:sz="4" w:space="0" w:color="auto"/>
            </w:tcBorders>
            <w:vAlign w:val="bottom"/>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Finkoa</w:t>
            </w:r>
          </w:p>
        </w:tc>
        <w:tc>
          <w:tcPr>
            <w:tcW w:w="1136" w:type="dxa"/>
            <w:tcBorders>
              <w:top w:val="single" w:sz="4" w:space="0" w:color="auto"/>
            </w:tcBorders>
            <w:shd w:val="clear" w:color="auto" w:fill="auto"/>
            <w:noWrap/>
            <w:vAlign w:val="bottom"/>
            <w:hideMark/>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4,0</w:t>
            </w:r>
          </w:p>
        </w:tc>
      </w:tr>
      <w:tr w:rsidR="00EC4026" w:rsidRPr="00DD3490" w:rsidTr="00DD3490">
        <w:trPr>
          <w:trHeight w:val="20"/>
        </w:trPr>
        <w:tc>
          <w:tcPr>
            <w:tcW w:w="2055" w:type="dxa"/>
            <w:shd w:val="clear" w:color="auto" w:fill="auto"/>
            <w:noWrap/>
            <w:vAlign w:val="bottom"/>
            <w:hideMark/>
          </w:tcPr>
          <w:p w:rsidR="00EC4026" w:rsidRPr="00DD3490" w:rsidRDefault="00EC4026" w:rsidP="00DD3490">
            <w:pPr>
              <w:spacing w:before="40" w:after="40" w:line="240" w:lineRule="auto"/>
              <w:rPr>
                <w:rFonts w:eastAsia="Times New Roman" w:cs="Arial"/>
                <w:sz w:val="18"/>
                <w:szCs w:val="18"/>
              </w:rPr>
            </w:pPr>
            <w:proofErr w:type="spellStart"/>
            <w:r w:rsidRPr="00DD3490">
              <w:rPr>
                <w:sz w:val="18"/>
                <w:szCs w:val="18"/>
              </w:rPr>
              <w:t>Bankinter-en</w:t>
            </w:r>
            <w:proofErr w:type="spellEnd"/>
            <w:r w:rsidRPr="00DD3490">
              <w:rPr>
                <w:sz w:val="18"/>
                <w:szCs w:val="18"/>
              </w:rPr>
              <w:t xml:space="preserve"> mailegua</w:t>
            </w:r>
          </w:p>
        </w:tc>
        <w:tc>
          <w:tcPr>
            <w:tcW w:w="1984" w:type="dxa"/>
            <w:shd w:val="clear" w:color="auto" w:fill="auto"/>
            <w:noWrap/>
            <w:vAlign w:val="bottom"/>
            <w:hideMark/>
          </w:tcPr>
          <w:p w:rsidR="00EC4026" w:rsidRPr="00DD3490" w:rsidRDefault="00EC4026" w:rsidP="00DD3490">
            <w:pPr>
              <w:spacing w:before="40" w:after="40" w:line="240" w:lineRule="auto"/>
              <w:rPr>
                <w:rFonts w:eastAsia="Times New Roman" w:cs="Arial"/>
                <w:sz w:val="18"/>
                <w:szCs w:val="18"/>
              </w:rPr>
            </w:pPr>
            <w:r w:rsidRPr="00DD3490">
              <w:rPr>
                <w:sz w:val="18"/>
                <w:szCs w:val="18"/>
              </w:rPr>
              <w:t>Nafarroako Gobernua</w:t>
            </w:r>
          </w:p>
        </w:tc>
        <w:tc>
          <w:tcPr>
            <w:tcW w:w="1392" w:type="dxa"/>
            <w:shd w:val="clear" w:color="auto" w:fill="auto"/>
            <w:noWrap/>
            <w:vAlign w:val="bottom"/>
            <w:hideMark/>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2.160.000,00</w:t>
            </w:r>
          </w:p>
        </w:tc>
        <w:tc>
          <w:tcPr>
            <w:tcW w:w="1869" w:type="dxa"/>
            <w:vAlign w:val="bottom"/>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Finkoa</w:t>
            </w:r>
          </w:p>
        </w:tc>
        <w:tc>
          <w:tcPr>
            <w:tcW w:w="1136" w:type="dxa"/>
            <w:shd w:val="clear" w:color="auto" w:fill="auto"/>
            <w:noWrap/>
            <w:vAlign w:val="bottom"/>
            <w:hideMark/>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0,7</w:t>
            </w:r>
          </w:p>
        </w:tc>
      </w:tr>
      <w:tr w:rsidR="00EC4026" w:rsidRPr="00DD3490" w:rsidTr="00DD3490">
        <w:trPr>
          <w:trHeight w:val="20"/>
        </w:trPr>
        <w:tc>
          <w:tcPr>
            <w:tcW w:w="2055" w:type="dxa"/>
            <w:shd w:val="clear" w:color="auto" w:fill="auto"/>
            <w:noWrap/>
            <w:vAlign w:val="bottom"/>
            <w:hideMark/>
          </w:tcPr>
          <w:p w:rsidR="00EC4026" w:rsidRPr="00DD3490" w:rsidRDefault="00EC4026" w:rsidP="00DD3490">
            <w:pPr>
              <w:spacing w:before="40" w:after="40" w:line="240" w:lineRule="auto"/>
              <w:rPr>
                <w:rFonts w:eastAsia="Times New Roman" w:cs="Arial"/>
                <w:sz w:val="18"/>
                <w:szCs w:val="18"/>
              </w:rPr>
            </w:pPr>
            <w:proofErr w:type="spellStart"/>
            <w:r w:rsidRPr="00DD3490">
              <w:rPr>
                <w:sz w:val="18"/>
                <w:szCs w:val="18"/>
              </w:rPr>
              <w:t>Bankinter-en</w:t>
            </w:r>
            <w:proofErr w:type="spellEnd"/>
            <w:r w:rsidRPr="00DD3490">
              <w:rPr>
                <w:sz w:val="18"/>
                <w:szCs w:val="18"/>
              </w:rPr>
              <w:t xml:space="preserve"> mailegua </w:t>
            </w:r>
          </w:p>
        </w:tc>
        <w:tc>
          <w:tcPr>
            <w:tcW w:w="1984" w:type="dxa"/>
            <w:shd w:val="clear" w:color="auto" w:fill="auto"/>
            <w:noWrap/>
            <w:vAlign w:val="bottom"/>
            <w:hideMark/>
          </w:tcPr>
          <w:p w:rsidR="00EC4026" w:rsidRPr="00DD3490" w:rsidRDefault="00EC4026" w:rsidP="00DD3490">
            <w:pPr>
              <w:spacing w:before="40" w:after="40" w:line="240" w:lineRule="auto"/>
              <w:rPr>
                <w:rFonts w:eastAsia="Times New Roman" w:cs="Arial"/>
                <w:sz w:val="18"/>
                <w:szCs w:val="18"/>
              </w:rPr>
            </w:pPr>
            <w:r w:rsidRPr="00DD3490">
              <w:rPr>
                <w:sz w:val="18"/>
                <w:szCs w:val="18"/>
              </w:rPr>
              <w:t>Nafarroako Gobernua</w:t>
            </w:r>
          </w:p>
        </w:tc>
        <w:tc>
          <w:tcPr>
            <w:tcW w:w="1392" w:type="dxa"/>
            <w:shd w:val="clear" w:color="auto" w:fill="auto"/>
            <w:noWrap/>
            <w:vAlign w:val="bottom"/>
            <w:hideMark/>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2.500.000,00</w:t>
            </w:r>
          </w:p>
        </w:tc>
        <w:tc>
          <w:tcPr>
            <w:tcW w:w="1869" w:type="dxa"/>
            <w:vAlign w:val="bottom"/>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Finkoa</w:t>
            </w:r>
          </w:p>
        </w:tc>
        <w:tc>
          <w:tcPr>
            <w:tcW w:w="1136" w:type="dxa"/>
            <w:shd w:val="clear" w:color="auto" w:fill="auto"/>
            <w:noWrap/>
            <w:vAlign w:val="bottom"/>
            <w:hideMark/>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0,5</w:t>
            </w:r>
          </w:p>
        </w:tc>
      </w:tr>
      <w:tr w:rsidR="00EC4026" w:rsidRPr="00DD3490" w:rsidTr="00DD3490">
        <w:trPr>
          <w:trHeight w:val="20"/>
        </w:trPr>
        <w:tc>
          <w:tcPr>
            <w:tcW w:w="2055" w:type="dxa"/>
            <w:shd w:val="clear" w:color="auto" w:fill="auto"/>
            <w:noWrap/>
            <w:vAlign w:val="bottom"/>
            <w:hideMark/>
          </w:tcPr>
          <w:p w:rsidR="00EC4026" w:rsidRPr="00DD3490" w:rsidRDefault="00EC4026" w:rsidP="00DD3490">
            <w:pPr>
              <w:spacing w:before="40" w:after="40" w:line="240" w:lineRule="auto"/>
              <w:rPr>
                <w:rFonts w:eastAsia="Times New Roman" w:cs="Arial"/>
                <w:sz w:val="18"/>
                <w:szCs w:val="18"/>
              </w:rPr>
            </w:pPr>
            <w:r w:rsidRPr="00DD3490">
              <w:rPr>
                <w:sz w:val="18"/>
                <w:szCs w:val="18"/>
              </w:rPr>
              <w:t xml:space="preserve">Deutsche </w:t>
            </w:r>
            <w:proofErr w:type="spellStart"/>
            <w:r w:rsidRPr="00DD3490">
              <w:rPr>
                <w:sz w:val="18"/>
                <w:szCs w:val="18"/>
              </w:rPr>
              <w:t>Pfandbriefbank-en</w:t>
            </w:r>
            <w:proofErr w:type="spellEnd"/>
            <w:r w:rsidRPr="00DD3490">
              <w:rPr>
                <w:sz w:val="18"/>
                <w:szCs w:val="18"/>
              </w:rPr>
              <w:t xml:space="preserve"> mailegua </w:t>
            </w:r>
          </w:p>
        </w:tc>
        <w:tc>
          <w:tcPr>
            <w:tcW w:w="1984" w:type="dxa"/>
            <w:shd w:val="clear" w:color="auto" w:fill="auto"/>
            <w:noWrap/>
            <w:vAlign w:val="bottom"/>
            <w:hideMark/>
          </w:tcPr>
          <w:p w:rsidR="00EC4026" w:rsidRPr="00DD3490" w:rsidRDefault="00EC4026" w:rsidP="00DD3490">
            <w:pPr>
              <w:spacing w:before="40" w:after="40" w:line="240" w:lineRule="auto"/>
              <w:rPr>
                <w:rFonts w:eastAsia="Times New Roman" w:cs="Arial"/>
                <w:sz w:val="18"/>
                <w:szCs w:val="18"/>
              </w:rPr>
            </w:pPr>
            <w:r w:rsidRPr="00DD3490">
              <w:rPr>
                <w:sz w:val="18"/>
                <w:szCs w:val="18"/>
              </w:rPr>
              <w:t>Nafarroako Gobernua</w:t>
            </w:r>
          </w:p>
        </w:tc>
        <w:tc>
          <w:tcPr>
            <w:tcW w:w="1392" w:type="dxa"/>
            <w:shd w:val="clear" w:color="auto" w:fill="auto"/>
            <w:noWrap/>
            <w:vAlign w:val="bottom"/>
            <w:hideMark/>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14.750.000,00</w:t>
            </w:r>
          </w:p>
        </w:tc>
        <w:tc>
          <w:tcPr>
            <w:tcW w:w="1869" w:type="dxa"/>
            <w:vAlign w:val="bottom"/>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Aldakorra</w:t>
            </w:r>
          </w:p>
        </w:tc>
        <w:tc>
          <w:tcPr>
            <w:tcW w:w="1136" w:type="dxa"/>
            <w:shd w:val="clear" w:color="auto" w:fill="auto"/>
            <w:noWrap/>
            <w:vAlign w:val="bottom"/>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0,3</w:t>
            </w:r>
          </w:p>
        </w:tc>
      </w:tr>
      <w:tr w:rsidR="00EC4026" w:rsidRPr="00DD3490" w:rsidTr="00DD3490">
        <w:trPr>
          <w:trHeight w:val="20"/>
        </w:trPr>
        <w:tc>
          <w:tcPr>
            <w:tcW w:w="2055" w:type="dxa"/>
            <w:shd w:val="clear" w:color="auto" w:fill="auto"/>
            <w:noWrap/>
            <w:vAlign w:val="bottom"/>
            <w:hideMark/>
          </w:tcPr>
          <w:p w:rsidR="00EC4026" w:rsidRPr="00DD3490" w:rsidRDefault="00EC4026" w:rsidP="00DD3490">
            <w:pPr>
              <w:spacing w:before="40" w:after="40" w:line="240" w:lineRule="auto"/>
              <w:rPr>
                <w:rFonts w:eastAsia="Times New Roman" w:cs="Arial"/>
                <w:sz w:val="18"/>
                <w:szCs w:val="18"/>
              </w:rPr>
            </w:pPr>
            <w:r w:rsidRPr="00DD3490">
              <w:rPr>
                <w:sz w:val="18"/>
                <w:szCs w:val="18"/>
              </w:rPr>
              <w:t xml:space="preserve">Deutsche </w:t>
            </w:r>
            <w:proofErr w:type="spellStart"/>
            <w:r w:rsidRPr="00DD3490">
              <w:rPr>
                <w:sz w:val="18"/>
                <w:szCs w:val="18"/>
              </w:rPr>
              <w:t>Pfandbriefbank-en</w:t>
            </w:r>
            <w:proofErr w:type="spellEnd"/>
            <w:r w:rsidRPr="00DD3490">
              <w:rPr>
                <w:sz w:val="18"/>
                <w:szCs w:val="18"/>
              </w:rPr>
              <w:t xml:space="preserve"> mailegua</w:t>
            </w:r>
          </w:p>
        </w:tc>
        <w:tc>
          <w:tcPr>
            <w:tcW w:w="1984" w:type="dxa"/>
            <w:shd w:val="clear" w:color="auto" w:fill="auto"/>
            <w:noWrap/>
            <w:vAlign w:val="bottom"/>
            <w:hideMark/>
          </w:tcPr>
          <w:p w:rsidR="00EC4026" w:rsidRPr="00DD3490" w:rsidRDefault="00EC4026" w:rsidP="00DD3490">
            <w:pPr>
              <w:spacing w:before="40" w:after="40" w:line="240" w:lineRule="auto"/>
              <w:rPr>
                <w:rFonts w:eastAsia="Times New Roman" w:cs="Arial"/>
                <w:sz w:val="18"/>
                <w:szCs w:val="18"/>
              </w:rPr>
            </w:pPr>
            <w:r w:rsidRPr="00DD3490">
              <w:rPr>
                <w:sz w:val="18"/>
                <w:szCs w:val="18"/>
              </w:rPr>
              <w:t>Nafarroako Gobernua</w:t>
            </w:r>
          </w:p>
        </w:tc>
        <w:tc>
          <w:tcPr>
            <w:tcW w:w="1392" w:type="dxa"/>
            <w:shd w:val="clear" w:color="auto" w:fill="auto"/>
            <w:noWrap/>
            <w:vAlign w:val="bottom"/>
            <w:hideMark/>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8.333.334,00</w:t>
            </w:r>
          </w:p>
        </w:tc>
        <w:tc>
          <w:tcPr>
            <w:tcW w:w="1869" w:type="dxa"/>
            <w:vAlign w:val="bottom"/>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Aldakorra</w:t>
            </w:r>
          </w:p>
        </w:tc>
        <w:tc>
          <w:tcPr>
            <w:tcW w:w="1136" w:type="dxa"/>
            <w:shd w:val="clear" w:color="auto" w:fill="auto"/>
            <w:noWrap/>
            <w:vAlign w:val="bottom"/>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0,3</w:t>
            </w:r>
          </w:p>
        </w:tc>
      </w:tr>
      <w:tr w:rsidR="00EC4026" w:rsidRPr="00DD3490" w:rsidTr="00DD3490">
        <w:trPr>
          <w:trHeight w:val="20"/>
        </w:trPr>
        <w:tc>
          <w:tcPr>
            <w:tcW w:w="2055" w:type="dxa"/>
            <w:shd w:val="clear" w:color="auto" w:fill="auto"/>
            <w:noWrap/>
            <w:vAlign w:val="bottom"/>
            <w:hideMark/>
          </w:tcPr>
          <w:p w:rsidR="00EC4026" w:rsidRPr="00DD3490" w:rsidRDefault="00EC4026" w:rsidP="00DD3490">
            <w:pPr>
              <w:spacing w:before="40" w:after="40" w:line="240" w:lineRule="auto"/>
              <w:rPr>
                <w:rFonts w:eastAsia="Times New Roman" w:cs="Arial"/>
                <w:sz w:val="18"/>
                <w:szCs w:val="18"/>
              </w:rPr>
            </w:pPr>
            <w:proofErr w:type="spellStart"/>
            <w:r w:rsidRPr="00DD3490">
              <w:rPr>
                <w:sz w:val="18"/>
                <w:szCs w:val="18"/>
              </w:rPr>
              <w:t>EPPak</w:t>
            </w:r>
            <w:proofErr w:type="spellEnd"/>
          </w:p>
        </w:tc>
        <w:tc>
          <w:tcPr>
            <w:tcW w:w="1984" w:type="dxa"/>
            <w:shd w:val="clear" w:color="auto" w:fill="auto"/>
            <w:noWrap/>
            <w:vAlign w:val="bottom"/>
            <w:hideMark/>
          </w:tcPr>
          <w:p w:rsidR="00EC4026" w:rsidRPr="00DD3490" w:rsidRDefault="00EC4026" w:rsidP="00DD3490">
            <w:pPr>
              <w:spacing w:before="40" w:after="40" w:line="240" w:lineRule="auto"/>
              <w:rPr>
                <w:rFonts w:eastAsia="Times New Roman" w:cs="Arial"/>
                <w:sz w:val="18"/>
                <w:szCs w:val="18"/>
              </w:rPr>
            </w:pPr>
            <w:r w:rsidRPr="00DD3490">
              <w:rPr>
                <w:sz w:val="18"/>
                <w:szCs w:val="18"/>
              </w:rPr>
              <w:t>Nafarroako Gobernua</w:t>
            </w:r>
          </w:p>
        </w:tc>
        <w:tc>
          <w:tcPr>
            <w:tcW w:w="1392" w:type="dxa"/>
            <w:shd w:val="clear" w:color="auto" w:fill="auto"/>
            <w:noWrap/>
            <w:vAlign w:val="bottom"/>
            <w:hideMark/>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6.228.310,00</w:t>
            </w:r>
          </w:p>
        </w:tc>
        <w:tc>
          <w:tcPr>
            <w:tcW w:w="1869" w:type="dxa"/>
            <w:vAlign w:val="bottom"/>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Finkoa</w:t>
            </w:r>
          </w:p>
        </w:tc>
        <w:tc>
          <w:tcPr>
            <w:tcW w:w="1136" w:type="dxa"/>
            <w:shd w:val="clear" w:color="auto" w:fill="auto"/>
            <w:noWrap/>
            <w:vAlign w:val="bottom"/>
            <w:hideMark/>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5,0 </w:t>
            </w:r>
          </w:p>
        </w:tc>
      </w:tr>
      <w:tr w:rsidR="00EC4026" w:rsidRPr="00DD3490" w:rsidTr="00DD3490">
        <w:trPr>
          <w:trHeight w:val="20"/>
        </w:trPr>
        <w:tc>
          <w:tcPr>
            <w:tcW w:w="2055" w:type="dxa"/>
            <w:shd w:val="clear" w:color="auto" w:fill="auto"/>
            <w:noWrap/>
            <w:vAlign w:val="bottom"/>
            <w:hideMark/>
          </w:tcPr>
          <w:p w:rsidR="00EC4026" w:rsidRPr="00DD3490" w:rsidRDefault="00EC4026" w:rsidP="00DD3490">
            <w:pPr>
              <w:spacing w:before="40" w:after="40" w:line="240" w:lineRule="auto"/>
              <w:rPr>
                <w:rFonts w:eastAsia="Times New Roman" w:cs="Arial"/>
                <w:sz w:val="18"/>
                <w:szCs w:val="18"/>
              </w:rPr>
            </w:pPr>
            <w:proofErr w:type="spellStart"/>
            <w:r w:rsidRPr="00DD3490">
              <w:rPr>
                <w:sz w:val="18"/>
                <w:szCs w:val="18"/>
              </w:rPr>
              <w:t>Caixabank-en</w:t>
            </w:r>
            <w:proofErr w:type="spellEnd"/>
            <w:r w:rsidRPr="00DD3490">
              <w:rPr>
                <w:sz w:val="18"/>
                <w:szCs w:val="18"/>
              </w:rPr>
              <w:t xml:space="preserve"> mailegua</w:t>
            </w:r>
          </w:p>
        </w:tc>
        <w:tc>
          <w:tcPr>
            <w:tcW w:w="1984" w:type="dxa"/>
            <w:shd w:val="clear" w:color="auto" w:fill="auto"/>
            <w:noWrap/>
            <w:vAlign w:val="bottom"/>
            <w:hideMark/>
          </w:tcPr>
          <w:p w:rsidR="00EC4026" w:rsidRPr="00DD3490" w:rsidRDefault="00EC4026" w:rsidP="00DD3490">
            <w:pPr>
              <w:spacing w:before="40" w:after="40" w:line="240" w:lineRule="auto"/>
              <w:rPr>
                <w:rFonts w:eastAsia="Times New Roman" w:cs="Arial"/>
                <w:sz w:val="18"/>
                <w:szCs w:val="18"/>
              </w:rPr>
            </w:pPr>
            <w:r w:rsidRPr="00DD3490">
              <w:rPr>
                <w:sz w:val="18"/>
                <w:szCs w:val="18"/>
              </w:rPr>
              <w:t>NICDO</w:t>
            </w:r>
          </w:p>
        </w:tc>
        <w:tc>
          <w:tcPr>
            <w:tcW w:w="1392" w:type="dxa"/>
            <w:shd w:val="clear" w:color="auto" w:fill="auto"/>
            <w:noWrap/>
            <w:vAlign w:val="bottom"/>
            <w:hideMark/>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2.692.310,00</w:t>
            </w:r>
          </w:p>
        </w:tc>
        <w:tc>
          <w:tcPr>
            <w:tcW w:w="1869" w:type="dxa"/>
            <w:vAlign w:val="bottom"/>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Aldakorra</w:t>
            </w:r>
          </w:p>
        </w:tc>
        <w:tc>
          <w:tcPr>
            <w:tcW w:w="1136" w:type="dxa"/>
            <w:shd w:val="clear" w:color="auto" w:fill="auto"/>
            <w:noWrap/>
            <w:vAlign w:val="bottom"/>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1,0</w:t>
            </w:r>
          </w:p>
        </w:tc>
      </w:tr>
      <w:tr w:rsidR="00EC4026" w:rsidRPr="00DD3490" w:rsidTr="00DD3490">
        <w:trPr>
          <w:trHeight w:val="20"/>
        </w:trPr>
        <w:tc>
          <w:tcPr>
            <w:tcW w:w="2055" w:type="dxa"/>
            <w:tcBorders>
              <w:bottom w:val="single" w:sz="4" w:space="0" w:color="auto"/>
            </w:tcBorders>
            <w:shd w:val="clear" w:color="auto" w:fill="auto"/>
            <w:noWrap/>
            <w:vAlign w:val="bottom"/>
            <w:hideMark/>
          </w:tcPr>
          <w:p w:rsidR="00EC4026" w:rsidRPr="00DD3490" w:rsidRDefault="00EC4026" w:rsidP="00DD3490">
            <w:pPr>
              <w:spacing w:before="40" w:after="40" w:line="240" w:lineRule="auto"/>
              <w:rPr>
                <w:rFonts w:eastAsia="Times New Roman" w:cs="Arial"/>
                <w:sz w:val="18"/>
                <w:szCs w:val="18"/>
              </w:rPr>
            </w:pPr>
            <w:proofErr w:type="spellStart"/>
            <w:r w:rsidRPr="00DD3490">
              <w:rPr>
                <w:sz w:val="18"/>
                <w:szCs w:val="18"/>
              </w:rPr>
              <w:t>Caixabank-en</w:t>
            </w:r>
            <w:proofErr w:type="spellEnd"/>
            <w:r w:rsidRPr="00DD3490">
              <w:rPr>
                <w:sz w:val="18"/>
                <w:szCs w:val="18"/>
              </w:rPr>
              <w:t xml:space="preserve"> mailegua</w:t>
            </w:r>
          </w:p>
        </w:tc>
        <w:tc>
          <w:tcPr>
            <w:tcW w:w="1984" w:type="dxa"/>
            <w:tcBorders>
              <w:bottom w:val="single" w:sz="4" w:space="0" w:color="auto"/>
            </w:tcBorders>
            <w:shd w:val="clear" w:color="auto" w:fill="auto"/>
            <w:noWrap/>
            <w:vAlign w:val="bottom"/>
            <w:hideMark/>
          </w:tcPr>
          <w:p w:rsidR="00EC4026" w:rsidRPr="00DD3490" w:rsidRDefault="00EC4026" w:rsidP="00DD3490">
            <w:pPr>
              <w:spacing w:before="40" w:after="40" w:line="240" w:lineRule="auto"/>
              <w:rPr>
                <w:rFonts w:eastAsia="Times New Roman" w:cs="Arial"/>
                <w:sz w:val="18"/>
                <w:szCs w:val="18"/>
              </w:rPr>
            </w:pPr>
            <w:r w:rsidRPr="00DD3490">
              <w:rPr>
                <w:sz w:val="18"/>
                <w:szCs w:val="18"/>
              </w:rPr>
              <w:t>CENER</w:t>
            </w:r>
          </w:p>
        </w:tc>
        <w:tc>
          <w:tcPr>
            <w:tcW w:w="1392" w:type="dxa"/>
            <w:tcBorders>
              <w:bottom w:val="single" w:sz="4" w:space="0" w:color="auto"/>
            </w:tcBorders>
            <w:shd w:val="clear" w:color="auto" w:fill="auto"/>
            <w:noWrap/>
            <w:vAlign w:val="bottom"/>
            <w:hideMark/>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729.260,00</w:t>
            </w:r>
          </w:p>
        </w:tc>
        <w:tc>
          <w:tcPr>
            <w:tcW w:w="1869" w:type="dxa"/>
            <w:tcBorders>
              <w:bottom w:val="single" w:sz="4" w:space="0" w:color="auto"/>
            </w:tcBorders>
            <w:vAlign w:val="bottom"/>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Aldakorra</w:t>
            </w:r>
          </w:p>
        </w:tc>
        <w:tc>
          <w:tcPr>
            <w:tcW w:w="1136" w:type="dxa"/>
            <w:tcBorders>
              <w:bottom w:val="single" w:sz="4" w:space="0" w:color="auto"/>
            </w:tcBorders>
            <w:shd w:val="clear" w:color="auto" w:fill="auto"/>
            <w:noWrap/>
            <w:vAlign w:val="bottom"/>
          </w:tcPr>
          <w:p w:rsidR="00EC4026" w:rsidRPr="00DD3490" w:rsidRDefault="00EC4026" w:rsidP="00DD3490">
            <w:pPr>
              <w:spacing w:before="40" w:after="40" w:line="240" w:lineRule="auto"/>
              <w:jc w:val="right"/>
              <w:rPr>
                <w:rFonts w:eastAsia="Times New Roman" w:cs="Arial"/>
                <w:sz w:val="18"/>
                <w:szCs w:val="18"/>
              </w:rPr>
            </w:pPr>
            <w:r w:rsidRPr="00DD3490">
              <w:rPr>
                <w:sz w:val="18"/>
                <w:szCs w:val="18"/>
              </w:rPr>
              <w:t>0,2</w:t>
            </w:r>
          </w:p>
        </w:tc>
      </w:tr>
      <w:tr w:rsidR="00EC4026" w:rsidRPr="00DD3490" w:rsidTr="00DD3490">
        <w:trPr>
          <w:trHeight w:val="20"/>
        </w:trPr>
        <w:tc>
          <w:tcPr>
            <w:tcW w:w="2055" w:type="dxa"/>
            <w:tcBorders>
              <w:top w:val="single" w:sz="4" w:space="0" w:color="auto"/>
            </w:tcBorders>
            <w:shd w:val="clear" w:color="auto" w:fill="auto"/>
            <w:noWrap/>
            <w:vAlign w:val="bottom"/>
            <w:hideMark/>
          </w:tcPr>
          <w:p w:rsidR="00EC4026" w:rsidRPr="00DD3490" w:rsidRDefault="00EC4026" w:rsidP="00DD3490">
            <w:pPr>
              <w:spacing w:before="40" w:after="40" w:line="240" w:lineRule="auto"/>
              <w:rPr>
                <w:rFonts w:eastAsia="Times New Roman" w:cs="Arial"/>
                <w:sz w:val="18"/>
                <w:szCs w:val="18"/>
                <w:lang w:eastAsia="es-ES"/>
              </w:rPr>
            </w:pPr>
          </w:p>
        </w:tc>
        <w:tc>
          <w:tcPr>
            <w:tcW w:w="1984" w:type="dxa"/>
            <w:tcBorders>
              <w:top w:val="single" w:sz="4" w:space="0" w:color="auto"/>
              <w:bottom w:val="single" w:sz="4" w:space="0" w:color="auto"/>
            </w:tcBorders>
            <w:shd w:val="clear" w:color="auto" w:fill="auto"/>
            <w:noWrap/>
            <w:vAlign w:val="bottom"/>
            <w:hideMark/>
          </w:tcPr>
          <w:p w:rsidR="00EC4026" w:rsidRPr="00DD3490" w:rsidRDefault="00EC4026" w:rsidP="00DD3490">
            <w:pPr>
              <w:spacing w:before="40" w:after="40" w:line="240" w:lineRule="auto"/>
              <w:rPr>
                <w:rFonts w:eastAsia="Times New Roman" w:cs="Arial"/>
                <w:b/>
                <w:sz w:val="18"/>
                <w:szCs w:val="18"/>
              </w:rPr>
            </w:pPr>
            <w:r w:rsidRPr="00DD3490">
              <w:rPr>
                <w:b/>
                <w:sz w:val="18"/>
                <w:szCs w:val="18"/>
              </w:rPr>
              <w:t>Guztira</w:t>
            </w:r>
          </w:p>
        </w:tc>
        <w:tc>
          <w:tcPr>
            <w:tcW w:w="1392" w:type="dxa"/>
            <w:tcBorders>
              <w:top w:val="single" w:sz="4" w:space="0" w:color="auto"/>
              <w:bottom w:val="single" w:sz="4" w:space="0" w:color="auto"/>
            </w:tcBorders>
            <w:shd w:val="clear" w:color="auto" w:fill="auto"/>
            <w:noWrap/>
            <w:vAlign w:val="bottom"/>
            <w:hideMark/>
          </w:tcPr>
          <w:p w:rsidR="00EC4026" w:rsidRPr="00DD3490" w:rsidRDefault="00EC4026" w:rsidP="00DD3490">
            <w:pPr>
              <w:spacing w:before="40" w:after="40" w:line="240" w:lineRule="auto"/>
              <w:jc w:val="right"/>
              <w:rPr>
                <w:rFonts w:eastAsia="Times New Roman" w:cs="Arial"/>
                <w:b/>
                <w:sz w:val="18"/>
                <w:szCs w:val="18"/>
              </w:rPr>
            </w:pPr>
            <w:r w:rsidRPr="00DD3490">
              <w:rPr>
                <w:b/>
                <w:sz w:val="18"/>
                <w:szCs w:val="18"/>
              </w:rPr>
              <w:t>244.583.214,00</w:t>
            </w:r>
          </w:p>
        </w:tc>
        <w:tc>
          <w:tcPr>
            <w:tcW w:w="1869" w:type="dxa"/>
            <w:tcBorders>
              <w:top w:val="single" w:sz="4" w:space="0" w:color="auto"/>
              <w:bottom w:val="single" w:sz="4" w:space="0" w:color="auto"/>
            </w:tcBorders>
            <w:vAlign w:val="bottom"/>
          </w:tcPr>
          <w:p w:rsidR="00EC4026" w:rsidRPr="00DD3490" w:rsidRDefault="00EC4026" w:rsidP="00DD3490">
            <w:pPr>
              <w:spacing w:before="40" w:after="40" w:line="240" w:lineRule="auto"/>
              <w:jc w:val="right"/>
              <w:rPr>
                <w:rFonts w:eastAsia="Times New Roman" w:cs="Arial"/>
                <w:b/>
                <w:sz w:val="18"/>
                <w:szCs w:val="18"/>
              </w:rPr>
            </w:pPr>
            <w:r w:rsidRPr="00DD3490">
              <w:rPr>
                <w:b/>
                <w:sz w:val="18"/>
                <w:szCs w:val="18"/>
              </w:rPr>
              <w:t>Batez besteko kostua</w:t>
            </w:r>
          </w:p>
        </w:tc>
        <w:tc>
          <w:tcPr>
            <w:tcW w:w="1136" w:type="dxa"/>
            <w:tcBorders>
              <w:top w:val="single" w:sz="4" w:space="0" w:color="auto"/>
              <w:bottom w:val="single" w:sz="4" w:space="0" w:color="auto"/>
            </w:tcBorders>
            <w:shd w:val="clear" w:color="auto" w:fill="auto"/>
            <w:noWrap/>
            <w:vAlign w:val="bottom"/>
            <w:hideMark/>
          </w:tcPr>
          <w:p w:rsidR="00EC4026" w:rsidRPr="00DD3490" w:rsidRDefault="00EC4026" w:rsidP="00DD3490">
            <w:pPr>
              <w:spacing w:before="40" w:after="40" w:line="240" w:lineRule="auto"/>
              <w:jc w:val="right"/>
              <w:rPr>
                <w:rFonts w:eastAsia="Times New Roman" w:cs="Arial"/>
                <w:b/>
                <w:sz w:val="18"/>
                <w:szCs w:val="18"/>
              </w:rPr>
            </w:pPr>
            <w:r w:rsidRPr="00DD3490">
              <w:rPr>
                <w:b/>
                <w:sz w:val="18"/>
                <w:szCs w:val="18"/>
              </w:rPr>
              <w:t>3,6</w:t>
            </w:r>
          </w:p>
        </w:tc>
      </w:tr>
    </w:tbl>
    <w:p w:rsidR="00CE5C83" w:rsidRDefault="00CE5C83" w:rsidP="00EC4026">
      <w:pPr>
        <w:spacing w:after="0" w:line="360" w:lineRule="auto"/>
        <w:jc w:val="both"/>
        <w:rPr>
          <w:rFonts w:ascii="Arial" w:eastAsia="Times New Roman" w:hAnsi="Arial" w:cs="Arial"/>
          <w:sz w:val="24"/>
          <w:szCs w:val="24"/>
          <w:lang w:eastAsia="es-ES"/>
        </w:rPr>
      </w:pPr>
    </w:p>
    <w:p w:rsidR="00CE5C83" w:rsidRDefault="00EC4026" w:rsidP="00EC4026">
      <w:pPr>
        <w:spacing w:after="0" w:line="360" w:lineRule="auto"/>
        <w:jc w:val="both"/>
        <w:rPr>
          <w:rFonts w:ascii="Arial" w:eastAsia="Times New Roman" w:hAnsi="Arial" w:cs="Arial"/>
          <w:sz w:val="24"/>
          <w:szCs w:val="24"/>
        </w:rPr>
      </w:pPr>
      <w:r>
        <w:rPr>
          <w:rFonts w:ascii="Arial" w:hAnsi="Arial"/>
          <w:sz w:val="24"/>
          <w:szCs w:val="24"/>
        </w:rPr>
        <w:t xml:space="preserve">Ikus daitekeenez, berriztatu beharreko mailegu eta bonuen bolumena Nafarroako Gobernuaren zorpetzeari eta enpresa publiko eta elkarte </w:t>
      </w:r>
      <w:proofErr w:type="spellStart"/>
      <w:r>
        <w:rPr>
          <w:rFonts w:ascii="Arial" w:hAnsi="Arial"/>
          <w:sz w:val="24"/>
          <w:szCs w:val="24"/>
        </w:rPr>
        <w:t>publiko-pribatuen</w:t>
      </w:r>
      <w:proofErr w:type="spellEnd"/>
      <w:r>
        <w:rPr>
          <w:rFonts w:ascii="Arial" w:hAnsi="Arial"/>
          <w:sz w:val="24"/>
          <w:szCs w:val="24"/>
        </w:rPr>
        <w:t xml:space="preserve"> (EPP) zorpetzeari dagokie.</w:t>
      </w:r>
    </w:p>
    <w:p w:rsidR="00CE5C83" w:rsidRDefault="00EC4026" w:rsidP="00EC4026">
      <w:pPr>
        <w:spacing w:after="0" w:line="360" w:lineRule="auto"/>
        <w:jc w:val="both"/>
        <w:rPr>
          <w:rFonts w:ascii="Arial" w:eastAsia="Times New Roman" w:hAnsi="Arial" w:cs="Arial"/>
          <w:sz w:val="24"/>
          <w:szCs w:val="24"/>
        </w:rPr>
      </w:pPr>
      <w:r>
        <w:rPr>
          <w:rFonts w:ascii="Arial" w:hAnsi="Arial"/>
          <w:sz w:val="24"/>
          <w:szCs w:val="24"/>
        </w:rPr>
        <w:t xml:space="preserve">“Interesa (%)” zutabean azaltzen da zer interes tasarekin hitzartu zen eragiketa bakoitza (eragiketak erreferentzia aldakorra badu eta ez finkoa, azken interes tasa indarduna da). </w:t>
      </w:r>
    </w:p>
    <w:p w:rsidR="00CE5C83" w:rsidRDefault="00EC4026" w:rsidP="00EC4026">
      <w:pPr>
        <w:spacing w:after="0" w:line="360" w:lineRule="auto"/>
        <w:jc w:val="both"/>
        <w:rPr>
          <w:rFonts w:ascii="Arial" w:eastAsia="Times New Roman" w:hAnsi="Arial" w:cs="Arial"/>
          <w:sz w:val="24"/>
          <w:szCs w:val="24"/>
        </w:rPr>
      </w:pPr>
      <w:r>
        <w:rPr>
          <w:rFonts w:ascii="Arial" w:hAnsi="Arial"/>
          <w:sz w:val="24"/>
          <w:szCs w:val="24"/>
        </w:rPr>
        <w:lastRenderedPageBreak/>
        <w:t xml:space="preserve">Egiazta daitekeenez, aurten </w:t>
      </w:r>
      <w:proofErr w:type="spellStart"/>
      <w:r>
        <w:rPr>
          <w:rFonts w:ascii="Arial" w:hAnsi="Arial"/>
          <w:sz w:val="24"/>
          <w:szCs w:val="24"/>
        </w:rPr>
        <w:t>mugaeguneratzen</w:t>
      </w:r>
      <w:proofErr w:type="spellEnd"/>
      <w:r>
        <w:rPr>
          <w:rFonts w:ascii="Arial" w:hAnsi="Arial"/>
          <w:sz w:val="24"/>
          <w:szCs w:val="24"/>
        </w:rPr>
        <w:t xml:space="preserve"> den zorpetzeak batez beste % 3,6ko kostu haztatua du.  </w:t>
      </w:r>
    </w:p>
    <w:p w:rsidR="00CE5C83" w:rsidRDefault="00EC4026" w:rsidP="00EC4026">
      <w:pPr>
        <w:spacing w:after="0" w:line="360" w:lineRule="auto"/>
        <w:jc w:val="both"/>
        <w:rPr>
          <w:rFonts w:ascii="Arial" w:eastAsia="Times New Roman" w:hAnsi="Arial" w:cs="Arial"/>
          <w:sz w:val="24"/>
          <w:szCs w:val="24"/>
        </w:rPr>
      </w:pPr>
      <w:r>
        <w:rPr>
          <w:rFonts w:ascii="Arial" w:hAnsi="Arial"/>
          <w:sz w:val="24"/>
          <w:szCs w:val="24"/>
        </w:rPr>
        <w:t>Zorpetze hori berriztatzeak aurrezpen finantzariorik ekarriko duen baloratzeko, % 3,6ko kostu hori ekitaldian formalizatzen diren eragiketen babez besteko kostuarekin konparatu behar litzateke.</w:t>
      </w:r>
    </w:p>
    <w:p w:rsidR="00CE5C83" w:rsidRDefault="00EC4026" w:rsidP="00EC4026">
      <w:pPr>
        <w:spacing w:after="0" w:line="360" w:lineRule="auto"/>
        <w:jc w:val="both"/>
        <w:rPr>
          <w:rFonts w:ascii="Arial" w:eastAsia="Times New Roman" w:hAnsi="Arial" w:cs="Arial"/>
          <w:sz w:val="24"/>
          <w:szCs w:val="24"/>
        </w:rPr>
      </w:pPr>
      <w:r>
        <w:rPr>
          <w:rFonts w:ascii="Arial" w:hAnsi="Arial"/>
          <w:sz w:val="24"/>
          <w:szCs w:val="24"/>
        </w:rPr>
        <w:t>Berriztatze horren zati bat gauzatzen hasita dago. Iragan martxoaren 31n Nafarroako Foru Komunitateak bonu bat jaulki zuen: 150 milioi euro eta % 0,25eko interesa. Horrek erakusten du zenbaterainoko interes-aurrezpena lortzen ari den muga-egun arruntak berriztatuz, hain interes tasa txikiak ditugun une honetan.</w:t>
      </w:r>
    </w:p>
    <w:p w:rsidR="00EC4026" w:rsidRDefault="00EC4026" w:rsidP="00EC4026">
      <w:pPr>
        <w:spacing w:after="0" w:line="360" w:lineRule="auto"/>
        <w:jc w:val="both"/>
        <w:rPr>
          <w:rFonts w:ascii="Arial" w:eastAsia="Times New Roman" w:hAnsi="Arial" w:cs="Arial"/>
          <w:sz w:val="24"/>
          <w:szCs w:val="24"/>
        </w:rPr>
      </w:pPr>
      <w:proofErr w:type="spellStart"/>
      <w:r>
        <w:rPr>
          <w:rFonts w:ascii="Arial" w:hAnsi="Arial"/>
          <w:sz w:val="24"/>
          <w:szCs w:val="24"/>
        </w:rPr>
        <w:t>Mugaeguneratzen</w:t>
      </w:r>
      <w:proofErr w:type="spellEnd"/>
      <w:r>
        <w:rPr>
          <w:rFonts w:ascii="Arial" w:hAnsi="Arial"/>
          <w:sz w:val="24"/>
          <w:szCs w:val="24"/>
        </w:rPr>
        <w:t xml:space="preserve"> diren mailegu eta bonuen gainerako zenbatekoa ekitaldian zehar estaltzen joanen da. Finantza-merkatuek egungo mailei eusten badiete, etorkizuneko berriztatze horien batez besteko kostua % 0,5 - % 1,0 ingurukoa izan liteke, erreferentzia gisa harturik Espainiako Altxorraren oraingo kotizazioa </w:t>
      </w:r>
      <w:proofErr w:type="spellStart"/>
      <w:r>
        <w:rPr>
          <w:rFonts w:ascii="Arial" w:hAnsi="Arial"/>
          <w:sz w:val="24"/>
          <w:szCs w:val="24"/>
        </w:rPr>
        <w:t>—oinarritzat</w:t>
      </w:r>
      <w:proofErr w:type="spellEnd"/>
      <w:r>
        <w:rPr>
          <w:rFonts w:ascii="Arial" w:hAnsi="Arial"/>
          <w:sz w:val="24"/>
          <w:szCs w:val="24"/>
        </w:rPr>
        <w:t xml:space="preserve"> hartzen baita autonomia erkidegoen eragiketak </w:t>
      </w:r>
      <w:proofErr w:type="spellStart"/>
      <w:r>
        <w:rPr>
          <w:rFonts w:ascii="Arial" w:hAnsi="Arial"/>
          <w:sz w:val="24"/>
          <w:szCs w:val="24"/>
        </w:rPr>
        <w:t>baloratzeko—</w:t>
      </w:r>
      <w:proofErr w:type="spellEnd"/>
      <w:r>
        <w:rPr>
          <w:rFonts w:ascii="Arial" w:hAnsi="Arial"/>
          <w:sz w:val="24"/>
          <w:szCs w:val="24"/>
        </w:rPr>
        <w:t xml:space="preserve">, eta eragiketa horiek formalizatzean ezartzen den epearen arabera. Kontuan izan behar da, epea zenbat eta luzeagoa izan, tasak orduan eta handiagoak direla, eta autonomia erkidegoak Espainiako Altxorra baino garestixeago finantzatzen direla, inbertsiogileek eskualde bati ezartzen dioten kostu handiagoaren isla. </w:t>
      </w:r>
    </w:p>
    <w:p w:rsidR="00CE5C83" w:rsidRDefault="00EC4026" w:rsidP="00EC4026">
      <w:pPr>
        <w:spacing w:after="0" w:line="360" w:lineRule="auto"/>
        <w:jc w:val="both"/>
        <w:rPr>
          <w:rFonts w:ascii="Arial" w:eastAsia="Times New Roman" w:hAnsi="Arial" w:cs="Arial"/>
          <w:sz w:val="24"/>
          <w:szCs w:val="24"/>
        </w:rPr>
      </w:pPr>
      <w:r>
        <w:rPr>
          <w:rFonts w:ascii="Arial" w:hAnsi="Arial"/>
          <w:sz w:val="24"/>
          <w:szCs w:val="24"/>
        </w:rPr>
        <w:t xml:space="preserve">Azken batean, erraza da egiaztatzea aurtengo muga-egunak birfinantzatzearen kostua nabarmen txikiagoa izanen dela </w:t>
      </w:r>
      <w:proofErr w:type="spellStart"/>
      <w:r>
        <w:rPr>
          <w:rFonts w:ascii="Arial" w:hAnsi="Arial"/>
          <w:sz w:val="24"/>
          <w:szCs w:val="24"/>
        </w:rPr>
        <w:t>mugaeguneratzen</w:t>
      </w:r>
      <w:proofErr w:type="spellEnd"/>
      <w:r>
        <w:rPr>
          <w:rFonts w:ascii="Arial" w:hAnsi="Arial"/>
          <w:sz w:val="24"/>
          <w:szCs w:val="24"/>
        </w:rPr>
        <w:t xml:space="preserve"> diren eragiketen kostua baino, eta garrantzizko aurrezpena lortuko dela interesetan.</w:t>
      </w:r>
    </w:p>
    <w:p w:rsidR="00CE5C83" w:rsidRDefault="00EC4026" w:rsidP="00EC4026">
      <w:pPr>
        <w:numPr>
          <w:ilvl w:val="0"/>
          <w:numId w:val="2"/>
        </w:numPr>
        <w:spacing w:after="0" w:line="360" w:lineRule="auto"/>
        <w:jc w:val="both"/>
        <w:rPr>
          <w:rFonts w:ascii="Arial" w:eastAsia="Times New Roman" w:hAnsi="Arial" w:cs="Arial"/>
          <w:sz w:val="24"/>
          <w:szCs w:val="24"/>
        </w:rPr>
      </w:pPr>
      <w:r>
        <w:rPr>
          <w:rFonts w:ascii="Arial" w:hAnsi="Arial"/>
          <w:sz w:val="24"/>
          <w:szCs w:val="24"/>
        </w:rPr>
        <w:t xml:space="preserve">Birfinantzatze eragiketen ezaugarriei dagokienez, galdetu da ea laster </w:t>
      </w:r>
      <w:proofErr w:type="spellStart"/>
      <w:r>
        <w:rPr>
          <w:rFonts w:ascii="Arial" w:hAnsi="Arial"/>
          <w:sz w:val="24"/>
          <w:szCs w:val="24"/>
        </w:rPr>
        <w:t>mugaeguneratzen</w:t>
      </w:r>
      <w:proofErr w:type="spellEnd"/>
      <w:r>
        <w:rPr>
          <w:rFonts w:ascii="Arial" w:hAnsi="Arial"/>
          <w:sz w:val="24"/>
          <w:szCs w:val="24"/>
        </w:rPr>
        <w:t xml:space="preserve"> eta kitatzeko xedez ordaindu behar diren eragiketak diren ala laster </w:t>
      </w:r>
      <w:proofErr w:type="spellStart"/>
      <w:r>
        <w:rPr>
          <w:rFonts w:ascii="Arial" w:hAnsi="Arial"/>
          <w:sz w:val="24"/>
          <w:szCs w:val="24"/>
        </w:rPr>
        <w:t>mugaeguneratzen</w:t>
      </w:r>
      <w:proofErr w:type="spellEnd"/>
      <w:r>
        <w:rPr>
          <w:rFonts w:ascii="Arial" w:hAnsi="Arial"/>
          <w:sz w:val="24"/>
          <w:szCs w:val="24"/>
        </w:rPr>
        <w:t xml:space="preserve"> ez diren zorpetze-eragiketak diren. Adierazi behar da aipatu erabakiak hizpide dituen birfinantzatze eragiketen xedea 2021eko muga-egunak berriztatzea dela, nahiz zorra osorik </w:t>
      </w:r>
      <w:proofErr w:type="spellStart"/>
      <w:r>
        <w:rPr>
          <w:rFonts w:ascii="Arial" w:hAnsi="Arial"/>
          <w:sz w:val="24"/>
          <w:szCs w:val="24"/>
        </w:rPr>
        <w:t>mugaeguneratzen</w:t>
      </w:r>
      <w:proofErr w:type="spellEnd"/>
      <w:r>
        <w:rPr>
          <w:rFonts w:ascii="Arial" w:hAnsi="Arial"/>
          <w:sz w:val="24"/>
          <w:szCs w:val="24"/>
        </w:rPr>
        <w:t xml:space="preserve"> delako, Nafarroaren Zorraren 207,19 milioi euroko obligazioak kasurako, nahiz </w:t>
      </w:r>
      <w:proofErr w:type="spellStart"/>
      <w:r>
        <w:rPr>
          <w:rFonts w:ascii="Arial" w:hAnsi="Arial"/>
          <w:sz w:val="24"/>
          <w:szCs w:val="24"/>
        </w:rPr>
        <w:t>bullet</w:t>
      </w:r>
      <w:proofErr w:type="spellEnd"/>
      <w:r>
        <w:rPr>
          <w:rFonts w:ascii="Arial" w:hAnsi="Arial"/>
          <w:sz w:val="24"/>
          <w:szCs w:val="24"/>
        </w:rPr>
        <w:t xml:space="preserve"> motakoak ez diren zor edo maileguen amortizazio partzialei dagozkielako, </w:t>
      </w:r>
      <w:proofErr w:type="spellStart"/>
      <w:r>
        <w:rPr>
          <w:rFonts w:ascii="Arial" w:hAnsi="Arial"/>
          <w:sz w:val="24"/>
          <w:szCs w:val="24"/>
        </w:rPr>
        <w:t>Bankinter</w:t>
      </w:r>
      <w:proofErr w:type="spellEnd"/>
      <w:r>
        <w:rPr>
          <w:rFonts w:ascii="Arial" w:hAnsi="Arial"/>
          <w:sz w:val="24"/>
          <w:szCs w:val="24"/>
        </w:rPr>
        <w:t xml:space="preserve"> entitatearekin edo Deutsche </w:t>
      </w:r>
      <w:proofErr w:type="spellStart"/>
      <w:r>
        <w:rPr>
          <w:rFonts w:ascii="Arial" w:hAnsi="Arial"/>
          <w:sz w:val="24"/>
          <w:szCs w:val="24"/>
        </w:rPr>
        <w:t>Pfandbriefbank-ekin</w:t>
      </w:r>
      <w:proofErr w:type="spellEnd"/>
      <w:r>
        <w:rPr>
          <w:rFonts w:ascii="Arial" w:hAnsi="Arial"/>
          <w:sz w:val="24"/>
          <w:szCs w:val="24"/>
        </w:rPr>
        <w:t xml:space="preserve"> hitzartutako maileguak kasurako.  </w:t>
      </w:r>
    </w:p>
    <w:p w:rsidR="00CE5C83" w:rsidRDefault="00EC4026" w:rsidP="00EC4026">
      <w:pPr>
        <w:spacing w:after="0" w:line="360" w:lineRule="auto"/>
        <w:rPr>
          <w:rFonts w:ascii="Arial" w:eastAsia="Times New Roman" w:hAnsi="Arial" w:cs="Arial"/>
          <w:sz w:val="24"/>
          <w:szCs w:val="24"/>
        </w:rPr>
      </w:pPr>
      <w:r>
        <w:rPr>
          <w:rFonts w:ascii="Arial" w:hAnsi="Arial"/>
          <w:sz w:val="24"/>
          <w:szCs w:val="24"/>
        </w:rPr>
        <w:t>Hori guztia jakinarazten dizut, Nafarroako Parlamentuko Erregelamenduaren 194. artikulua betez.</w:t>
      </w:r>
    </w:p>
    <w:p w:rsidR="00CE5C83" w:rsidRDefault="00EC4026" w:rsidP="00EC4026">
      <w:pPr>
        <w:spacing w:after="0" w:line="240" w:lineRule="auto"/>
        <w:rPr>
          <w:rFonts w:ascii="Arial" w:eastAsia="Times New Roman" w:hAnsi="Arial" w:cs="Arial"/>
          <w:sz w:val="24"/>
          <w:szCs w:val="24"/>
        </w:rPr>
      </w:pPr>
      <w:r>
        <w:rPr>
          <w:rFonts w:ascii="Arial" w:hAnsi="Arial"/>
          <w:sz w:val="24"/>
          <w:szCs w:val="24"/>
        </w:rPr>
        <w:lastRenderedPageBreak/>
        <w:t>Iruñean, 2021eko apirilaren 9an.</w:t>
      </w:r>
    </w:p>
    <w:p w:rsidR="00CE5C83" w:rsidRDefault="00EC4026" w:rsidP="00EC4026">
      <w:pPr>
        <w:spacing w:after="0" w:line="240" w:lineRule="auto"/>
        <w:jc w:val="center"/>
        <w:rPr>
          <w:rFonts w:ascii="Arial" w:eastAsia="Times New Roman" w:hAnsi="Arial" w:cs="Arial"/>
          <w:sz w:val="24"/>
          <w:szCs w:val="24"/>
        </w:rPr>
      </w:pPr>
      <w:r>
        <w:rPr>
          <w:rFonts w:ascii="Arial" w:hAnsi="Arial"/>
          <w:sz w:val="24"/>
          <w:szCs w:val="24"/>
        </w:rPr>
        <w:t xml:space="preserve">Ekonomia eta Ogasuneko kontseilaria: </w:t>
      </w:r>
      <w:proofErr w:type="spellStart"/>
      <w:r>
        <w:rPr>
          <w:rFonts w:ascii="Arial" w:hAnsi="Arial"/>
          <w:sz w:val="24"/>
          <w:szCs w:val="24"/>
        </w:rPr>
        <w:t>Elma</w:t>
      </w:r>
      <w:proofErr w:type="spellEnd"/>
      <w:r>
        <w:rPr>
          <w:rFonts w:ascii="Arial" w:hAnsi="Arial"/>
          <w:sz w:val="24"/>
          <w:szCs w:val="24"/>
        </w:rPr>
        <w:t xml:space="preserve"> Saiz </w:t>
      </w:r>
      <w:proofErr w:type="spellStart"/>
      <w:r>
        <w:rPr>
          <w:rFonts w:ascii="Arial" w:hAnsi="Arial"/>
          <w:sz w:val="24"/>
          <w:szCs w:val="24"/>
        </w:rPr>
        <w:t>Delgado</w:t>
      </w:r>
      <w:proofErr w:type="spellEnd"/>
    </w:p>
    <w:sectPr w:rsidR="00CE5C83" w:rsidSect="00CE5C83">
      <w:pgSz w:w="11906" w:h="16838"/>
      <w:pgMar w:top="1702" w:right="170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026" w:rsidRDefault="00EC4026" w:rsidP="00EC4026">
      <w:pPr>
        <w:spacing w:after="0" w:line="240" w:lineRule="auto"/>
      </w:pPr>
      <w:r>
        <w:separator/>
      </w:r>
    </w:p>
  </w:endnote>
  <w:endnote w:type="continuationSeparator" w:id="0">
    <w:p w:rsidR="00EC4026" w:rsidRDefault="00EC4026" w:rsidP="00EC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026" w:rsidRDefault="00EC4026" w:rsidP="00EC4026">
      <w:pPr>
        <w:spacing w:after="0" w:line="240" w:lineRule="auto"/>
      </w:pPr>
      <w:r>
        <w:separator/>
      </w:r>
    </w:p>
  </w:footnote>
  <w:footnote w:type="continuationSeparator" w:id="0">
    <w:p w:rsidR="00EC4026" w:rsidRDefault="00EC4026" w:rsidP="00EC40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61C2"/>
    <w:multiLevelType w:val="hybridMultilevel"/>
    <w:tmpl w:val="356A7C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60AB4724"/>
    <w:multiLevelType w:val="hybridMultilevel"/>
    <w:tmpl w:val="2662E9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6A"/>
    <w:rsid w:val="000251B8"/>
    <w:rsid w:val="00150C19"/>
    <w:rsid w:val="001935C7"/>
    <w:rsid w:val="001E7CA8"/>
    <w:rsid w:val="00317750"/>
    <w:rsid w:val="005556BD"/>
    <w:rsid w:val="00727158"/>
    <w:rsid w:val="00CE5C83"/>
    <w:rsid w:val="00D6116A"/>
    <w:rsid w:val="00DD3490"/>
    <w:rsid w:val="00EC4026"/>
    <w:rsid w:val="00F85D0D"/>
    <w:rsid w:val="00F976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40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4026"/>
  </w:style>
  <w:style w:type="paragraph" w:styleId="Piedepgina">
    <w:name w:val="footer"/>
    <w:basedOn w:val="Normal"/>
    <w:link w:val="PiedepginaCar"/>
    <w:uiPriority w:val="99"/>
    <w:unhideWhenUsed/>
    <w:rsid w:val="00EC40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4026"/>
  </w:style>
  <w:style w:type="paragraph" w:styleId="Textodeglobo">
    <w:name w:val="Balloon Text"/>
    <w:basedOn w:val="Normal"/>
    <w:link w:val="TextodegloboCar"/>
    <w:uiPriority w:val="99"/>
    <w:semiHidden/>
    <w:unhideWhenUsed/>
    <w:rsid w:val="00CE5C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C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40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4026"/>
  </w:style>
  <w:style w:type="paragraph" w:styleId="Piedepgina">
    <w:name w:val="footer"/>
    <w:basedOn w:val="Normal"/>
    <w:link w:val="PiedepginaCar"/>
    <w:uiPriority w:val="99"/>
    <w:unhideWhenUsed/>
    <w:rsid w:val="00EC40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4026"/>
  </w:style>
  <w:style w:type="paragraph" w:styleId="Textodeglobo">
    <w:name w:val="Balloon Text"/>
    <w:basedOn w:val="Normal"/>
    <w:link w:val="TextodegloboCar"/>
    <w:uiPriority w:val="99"/>
    <w:semiHidden/>
    <w:unhideWhenUsed/>
    <w:rsid w:val="00CE5C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C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53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3676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X075485</dc:creator>
  <cp:lastModifiedBy>Iñaki De Santiago</cp:lastModifiedBy>
  <cp:revision>2</cp:revision>
  <dcterms:created xsi:type="dcterms:W3CDTF">2021-05-19T07:54:00Z</dcterms:created>
  <dcterms:modified xsi:type="dcterms:W3CDTF">2021-05-19T07:54:00Z</dcterms:modified>
</cp:coreProperties>
</file>