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B41" w:rsidRDefault="00DE6E82">
      <w:pPr>
        <w:rPr>
          <w:rStyle w:val="Normal1"/>
        </w:rPr>
      </w:pPr>
      <w:r>
        <w:rPr>
          <w:rStyle w:val="Normal1"/>
        </w:rPr>
        <w:t>En sesión celebrada el día 7 de junio de 2021, la Mesa del Parlamento de Navarra adoptó, entre otros, el siguiente Acuerdo:</w:t>
      </w:r>
    </w:p>
    <w:p w:rsidR="00784B41" w:rsidRDefault="00DE6E82">
      <w:pPr>
        <w:rPr>
          <w:rStyle w:val="Normal1"/>
        </w:rPr>
      </w:pPr>
      <w:r>
        <w:rPr>
          <w:rStyle w:val="Normal1"/>
        </w:rPr>
        <w:t xml:space="preserve">En ejercicio de la iniciativa legislativa que le reconoce el artículo 19.1.a) de la Ley Orgánica de Reintegración y Amejoramiento del Régimen Foral de Navarra, el Gobierno de Navarra, por Acuerdo de 2 de junio de 2021, ha remitido al Parlamento de Navarra </w:t>
      </w:r>
      <w:r>
        <w:rPr>
          <w:rStyle w:val="Normal1"/>
        </w:rPr>
        <w:t>el proyecto de Ley Foral por la que se concede un crédito extraordinario por un importe de 934.015 euros para el Departamento de Cohesión Territorial.</w:t>
      </w:r>
    </w:p>
    <w:p w:rsidR="00784B41" w:rsidRDefault="00DE6E82">
      <w:pPr>
        <w:rPr>
          <w:rStyle w:val="Normal1"/>
        </w:rPr>
      </w:pPr>
      <w:r>
        <w:rPr>
          <w:rStyle w:val="Normal1"/>
        </w:rPr>
        <w:t xml:space="preserve">En su virtud, de conformidad con lo dispuesto en el artículo 158 del Reglamento de la Cámara, de acuerdo </w:t>
      </w:r>
      <w:r>
        <w:rPr>
          <w:rStyle w:val="Normal1"/>
        </w:rPr>
        <w:t>con la Junta de Portavoces, SE ACUERDA:</w:t>
      </w:r>
    </w:p>
    <w:p w:rsidR="00784B41" w:rsidRDefault="00DE6E82">
      <w:pPr>
        <w:rPr>
          <w:rStyle w:val="Normal1"/>
        </w:rPr>
      </w:pPr>
      <w:r>
        <w:rPr>
          <w:rStyle w:val="Normal1"/>
          <w:b/>
        </w:rPr>
        <w:t>1.º</w:t>
      </w:r>
      <w:r>
        <w:rPr>
          <w:rStyle w:val="Normal1"/>
        </w:rPr>
        <w:t xml:space="preserve"> Someter a la consideración del Pleno de la Cámara la tramitación directa y en lectura única del proyecto de Ley Foral por la que se concede un crédito extraordinario por un importe de 934.015 euros para el Depart</w:t>
      </w:r>
      <w:r>
        <w:rPr>
          <w:rStyle w:val="Normal1"/>
        </w:rPr>
        <w:t>amento de Cohesión Territorial (10-21/LEY-00003).</w:t>
      </w:r>
    </w:p>
    <w:p w:rsidR="00784B41" w:rsidRDefault="00DE6E82">
      <w:pPr>
        <w:rPr>
          <w:rStyle w:val="Normal1"/>
        </w:rPr>
      </w:pPr>
      <w:proofErr w:type="gramStart"/>
      <w:r>
        <w:rPr>
          <w:rStyle w:val="Normal1"/>
          <w:b/>
        </w:rPr>
        <w:t>2.º</w:t>
      </w:r>
      <w:proofErr w:type="gramEnd"/>
      <w:r>
        <w:rPr>
          <w:rStyle w:val="Normal1"/>
        </w:rPr>
        <w:t xml:space="preserve"> Disponer la apertura del plazo de enmiendas hasta las 12 horas del día anterior a la sesión plenaria en la que haya de debatirse, que deberán presentarse ante la Mesa de la Cámara.</w:t>
      </w:r>
    </w:p>
    <w:p w:rsidR="00784B41" w:rsidRDefault="00DE6E82">
      <w:pPr>
        <w:rPr>
          <w:rStyle w:val="Normal1"/>
        </w:rPr>
      </w:pPr>
      <w:proofErr w:type="gramStart"/>
      <w:r>
        <w:rPr>
          <w:rStyle w:val="Normal1"/>
          <w:b/>
        </w:rPr>
        <w:t>3.º</w:t>
      </w:r>
      <w:proofErr w:type="gramEnd"/>
      <w:r>
        <w:rPr>
          <w:rStyle w:val="Normal1"/>
        </w:rPr>
        <w:t xml:space="preserve"> Ordenar su public</w:t>
      </w:r>
      <w:r>
        <w:rPr>
          <w:rStyle w:val="Normal1"/>
        </w:rPr>
        <w:t>ación en el Boletín Oficial del Parlamento de Navarra.</w:t>
      </w:r>
    </w:p>
    <w:p w:rsidR="00784B41" w:rsidRDefault="00DE6E82">
      <w:pPr>
        <w:rPr>
          <w:rStyle w:val="Normal1"/>
        </w:rPr>
      </w:pPr>
      <w:r>
        <w:rPr>
          <w:rStyle w:val="Normal1"/>
        </w:rPr>
        <w:t>Pamplona, 7 de junio de 2021</w:t>
      </w:r>
    </w:p>
    <w:p w:rsidR="00DE6E82" w:rsidRPr="00DE6E82" w:rsidRDefault="00DE6E82">
      <w:pPr>
        <w:rPr>
          <w:lang w:val="es-ES"/>
        </w:rPr>
      </w:pPr>
      <w:r>
        <w:rPr>
          <w:rStyle w:val="Normal1"/>
        </w:rPr>
        <w:t xml:space="preserve">El Presidente: </w:t>
      </w:r>
      <w:proofErr w:type="spellStart"/>
      <w:r>
        <w:rPr>
          <w:rStyle w:val="Normal1"/>
        </w:rPr>
        <w:t>Unai</w:t>
      </w:r>
      <w:proofErr w:type="spellEnd"/>
      <w:r>
        <w:rPr>
          <w:rStyle w:val="Normal1"/>
        </w:rPr>
        <w:t xml:space="preserve"> </w:t>
      </w:r>
      <w:proofErr w:type="spellStart"/>
      <w:r>
        <w:rPr>
          <w:rStyle w:val="Normal1"/>
        </w:rPr>
        <w:t>Hualde</w:t>
      </w:r>
      <w:proofErr w:type="spellEnd"/>
      <w:r>
        <w:rPr>
          <w:rStyle w:val="Normal1"/>
        </w:rPr>
        <w:t xml:space="preserve"> Iglesias</w:t>
      </w:r>
    </w:p>
    <w:p w:rsidR="00784B41" w:rsidRPr="00DE6E82" w:rsidRDefault="00DE6E82">
      <w:pPr>
        <w:pStyle w:val="Titulotexto"/>
        <w:rPr>
          <w:lang w:val="es-ES"/>
        </w:rPr>
      </w:pPr>
      <w:r w:rsidRPr="00DE6E82">
        <w:rPr>
          <w:lang w:val="es-ES"/>
        </w:rPr>
        <w:t>Proyecto de Ley Foral</w:t>
      </w:r>
      <w:r w:rsidRPr="00DE6E82">
        <w:rPr>
          <w:lang w:val="es-ES"/>
        </w:rPr>
        <w:br/>
        <w:t xml:space="preserve">por la que se concede un crédito extraordinario por un importe de 934.015 euros para el Departamento de Cohesión </w:t>
      </w:r>
      <w:r w:rsidRPr="00DE6E82">
        <w:rPr>
          <w:lang w:val="es-ES"/>
        </w:rPr>
        <w:t>Territorial</w:t>
      </w:r>
    </w:p>
    <w:p w:rsidR="00784B41" w:rsidRDefault="00DE6E82">
      <w:pPr>
        <w:ind w:firstLine="0"/>
        <w:jc w:val="center"/>
        <w:rPr>
          <w:rStyle w:val="Normal1"/>
        </w:rPr>
      </w:pPr>
      <w:r>
        <w:rPr>
          <w:rStyle w:val="Normal1"/>
        </w:rPr>
        <w:t>PREÁMBULO</w:t>
      </w:r>
    </w:p>
    <w:p w:rsidR="00784B41" w:rsidRDefault="00DE6E82">
      <w:pPr>
        <w:rPr>
          <w:rStyle w:val="Normal1"/>
        </w:rPr>
      </w:pPr>
      <w:r>
        <w:rPr>
          <w:rStyle w:val="Normal1"/>
        </w:rPr>
        <w:t xml:space="preserve">Se ha puesto de manifiesto en la Dirección General de Administración Local del Departamento de Cohesión Territorial la necesidad de atender la financiación de actuaciones en los Ayuntamientos de Monreal y de </w:t>
      </w:r>
      <w:proofErr w:type="spellStart"/>
      <w:r>
        <w:rPr>
          <w:rStyle w:val="Normal1"/>
        </w:rPr>
        <w:t>Baztan</w:t>
      </w:r>
      <w:proofErr w:type="spellEnd"/>
      <w:r>
        <w:rPr>
          <w:rStyle w:val="Normal1"/>
        </w:rPr>
        <w:t xml:space="preserve"> para las que no exi</w:t>
      </w:r>
      <w:r>
        <w:rPr>
          <w:rStyle w:val="Normal1"/>
        </w:rPr>
        <w:t>ste crédito.</w:t>
      </w:r>
    </w:p>
    <w:p w:rsidR="00784B41" w:rsidRDefault="00DE6E82">
      <w:pPr>
        <w:rPr>
          <w:rStyle w:val="Normal1"/>
        </w:rPr>
      </w:pPr>
      <w:r>
        <w:rPr>
          <w:rStyle w:val="Normal1"/>
        </w:rPr>
        <w:t xml:space="preserve">En primer lugar, en los valles de </w:t>
      </w:r>
      <w:proofErr w:type="spellStart"/>
      <w:r>
        <w:rPr>
          <w:rStyle w:val="Normal1"/>
        </w:rPr>
        <w:t>Aritzakun</w:t>
      </w:r>
      <w:proofErr w:type="spellEnd"/>
      <w:r>
        <w:rPr>
          <w:rStyle w:val="Normal1"/>
        </w:rPr>
        <w:t xml:space="preserve"> y </w:t>
      </w:r>
      <w:proofErr w:type="spellStart"/>
      <w:r>
        <w:rPr>
          <w:rStyle w:val="Normal1"/>
        </w:rPr>
        <w:t>Urritzate</w:t>
      </w:r>
      <w:proofErr w:type="spellEnd"/>
      <w:r>
        <w:rPr>
          <w:rStyle w:val="Normal1"/>
        </w:rPr>
        <w:t xml:space="preserve">, situados al noroeste del municipio de </w:t>
      </w:r>
      <w:proofErr w:type="spellStart"/>
      <w:r>
        <w:rPr>
          <w:rStyle w:val="Normal1"/>
        </w:rPr>
        <w:t>Baztan</w:t>
      </w:r>
      <w:proofErr w:type="spellEnd"/>
      <w:r>
        <w:rPr>
          <w:rStyle w:val="Normal1"/>
        </w:rPr>
        <w:t xml:space="preserve"> con un sistema de poblamiento basado en caseríos diseminados alejados de los principales núcleos urbanos del valle, las vías de comunicación </w:t>
      </w:r>
      <w:r>
        <w:rPr>
          <w:rStyle w:val="Normal1"/>
        </w:rPr>
        <w:t xml:space="preserve">presentan una carencia manifiesta, ya que el eje principal que articula los dos barrios es en su mayor parte de zahorra. A ello hay que añadirle una serie de ramales, también de zahorra, que dan a cada uno de los caseríos. Actualmente en </w:t>
      </w:r>
      <w:proofErr w:type="spellStart"/>
      <w:r>
        <w:rPr>
          <w:rStyle w:val="Normal1"/>
        </w:rPr>
        <w:t>Aritzakun</w:t>
      </w:r>
      <w:proofErr w:type="spellEnd"/>
      <w:r>
        <w:rPr>
          <w:rStyle w:val="Normal1"/>
        </w:rPr>
        <w:t xml:space="preserve"> y </w:t>
      </w:r>
      <w:proofErr w:type="spellStart"/>
      <w:r>
        <w:rPr>
          <w:rStyle w:val="Normal1"/>
        </w:rPr>
        <w:t>Urritz</w:t>
      </w:r>
      <w:r>
        <w:rPr>
          <w:rStyle w:val="Normal1"/>
        </w:rPr>
        <w:t>ate</w:t>
      </w:r>
      <w:proofErr w:type="spellEnd"/>
      <w:r>
        <w:rPr>
          <w:rStyle w:val="Normal1"/>
        </w:rPr>
        <w:t xml:space="preserve"> residen veintidós personas de distintas franjas de edad, lo que conlleva necesidades de muy diverso tipo. La situación descrita condiciona la posibilidad de acceder a diferentes servicios, algunos de ellos servicios públicos básicos. De esta forma la p</w:t>
      </w:r>
      <w:r>
        <w:rPr>
          <w:rStyle w:val="Normal1"/>
        </w:rPr>
        <w:t xml:space="preserve">rincipal vía de acceso supone un obstáculo que repercute en la vida diaria de las personas afectadas y dificulta la fijación de la población en esa zona. Un lugar donde están el ZEC de </w:t>
      </w:r>
      <w:proofErr w:type="spellStart"/>
      <w:r>
        <w:rPr>
          <w:rStyle w:val="Normal1"/>
        </w:rPr>
        <w:t>Urritzate-Aritzakun-Gorramendi</w:t>
      </w:r>
      <w:proofErr w:type="spellEnd"/>
      <w:r>
        <w:rPr>
          <w:rStyle w:val="Normal1"/>
        </w:rPr>
        <w:t xml:space="preserve"> y las reservas naturales de </w:t>
      </w:r>
      <w:proofErr w:type="spellStart"/>
      <w:r>
        <w:rPr>
          <w:rStyle w:val="Normal1"/>
        </w:rPr>
        <w:t>Irubelakasko</w:t>
      </w:r>
      <w:r>
        <w:rPr>
          <w:rStyle w:val="Normal1"/>
        </w:rPr>
        <w:t>a</w:t>
      </w:r>
      <w:proofErr w:type="spellEnd"/>
      <w:r>
        <w:rPr>
          <w:rStyle w:val="Normal1"/>
        </w:rPr>
        <w:t xml:space="preserve"> e </w:t>
      </w:r>
      <w:proofErr w:type="spellStart"/>
      <w:r>
        <w:rPr>
          <w:rStyle w:val="Normal1"/>
        </w:rPr>
        <w:t>Itxusi</w:t>
      </w:r>
      <w:proofErr w:type="spellEnd"/>
      <w:r>
        <w:rPr>
          <w:rStyle w:val="Normal1"/>
        </w:rPr>
        <w:t>. Parte de la gestión de las áreas naturales citadas se basa en la actividad pastoril y la necesaria presencia del ser humano con unos manejos sostenibles.</w:t>
      </w:r>
    </w:p>
    <w:p w:rsidR="00784B41" w:rsidRDefault="00DE6E82">
      <w:pPr>
        <w:rPr>
          <w:rStyle w:val="Normal1"/>
        </w:rPr>
      </w:pPr>
      <w:r>
        <w:rPr>
          <w:rStyle w:val="Normal1"/>
        </w:rPr>
        <w:t xml:space="preserve">Por tanto, se requiere de una actuación en la principal vía de acceso de </w:t>
      </w:r>
      <w:proofErr w:type="spellStart"/>
      <w:r>
        <w:rPr>
          <w:rStyle w:val="Normal1"/>
        </w:rPr>
        <w:t>Aritzakun</w:t>
      </w:r>
      <w:proofErr w:type="spellEnd"/>
      <w:r>
        <w:rPr>
          <w:rStyle w:val="Normal1"/>
        </w:rPr>
        <w:t xml:space="preserve"> y </w:t>
      </w:r>
      <w:proofErr w:type="spellStart"/>
      <w:r>
        <w:rPr>
          <w:rStyle w:val="Normal1"/>
        </w:rPr>
        <w:t>Urrit</w:t>
      </w:r>
      <w:r>
        <w:rPr>
          <w:rStyle w:val="Normal1"/>
        </w:rPr>
        <w:t>zate</w:t>
      </w:r>
      <w:proofErr w:type="spellEnd"/>
      <w:r>
        <w:rPr>
          <w:rStyle w:val="Normal1"/>
        </w:rPr>
        <w:t>.</w:t>
      </w:r>
    </w:p>
    <w:p w:rsidR="00784B41" w:rsidRDefault="00DE6E82">
      <w:pPr>
        <w:rPr>
          <w:rStyle w:val="Normal1"/>
        </w:rPr>
      </w:pPr>
      <w:r>
        <w:rPr>
          <w:rStyle w:val="Normal1"/>
        </w:rPr>
        <w:t>En segundo lugar, la intersección de la carretera NA-2420 con el casco urbano de Monreal presenta un trazado muy poco definido, por lo que se genera un tráfico rodado de entrada y salida a través de dos intersecciones en forma de T en la misma margen</w:t>
      </w:r>
      <w:r>
        <w:rPr>
          <w:rStyle w:val="Normal1"/>
        </w:rPr>
        <w:t>, que entrelaza los diferentes movimientos produciendo una incertidumbre que repercute en un incremento de la accidentabilidad del acceso. A su vez, ambas intersecciones están unidas interiormente por otra pata paralela a la NA-2420, que aumenta la problem</w:t>
      </w:r>
      <w:r>
        <w:rPr>
          <w:rStyle w:val="Normal1"/>
        </w:rPr>
        <w:t>ática de los movimientos.</w:t>
      </w:r>
    </w:p>
    <w:p w:rsidR="00784B41" w:rsidRDefault="00DE6E82">
      <w:pPr>
        <w:rPr>
          <w:rStyle w:val="Normal1"/>
        </w:rPr>
      </w:pPr>
      <w:r>
        <w:rPr>
          <w:rStyle w:val="Normal1"/>
        </w:rPr>
        <w:t>Además de que la solución proyectada reduce 50 cm la sección transversal de la carretera y hace necesaria la transición a la anchura de la actual travesía de Monreal; se ha tenido en cuenta que la puesta en marcha de la Autovía A-</w:t>
      </w:r>
      <w:r>
        <w:rPr>
          <w:rStyle w:val="Normal1"/>
        </w:rPr>
        <w:t>21 redujo considerablemente el tráfico de paso. Por otro lado, actualmente se están incrementando los desarrollos urbanísticos residenciales de la margen opuesta al casco histórico, por lo que todavía se hace más necesario incrementar el carácter urbano de</w:t>
      </w:r>
      <w:r>
        <w:rPr>
          <w:rStyle w:val="Normal1"/>
        </w:rPr>
        <w:t>l tramo de travesía afectado, con objeto de conseguir que los movimientos no motorizados entre ambas márgenes se realicen con los máximos estándares de seguridad.</w:t>
      </w:r>
    </w:p>
    <w:p w:rsidR="00784B41" w:rsidRDefault="00DE6E82">
      <w:pPr>
        <w:rPr>
          <w:rStyle w:val="Normal1"/>
        </w:rPr>
      </w:pPr>
      <w:r>
        <w:rPr>
          <w:rStyle w:val="Normal1"/>
        </w:rPr>
        <w:t>La ejecución de este proyecto obliga a la actuación coordinada de las Direcciones Generales d</w:t>
      </w:r>
      <w:r>
        <w:rPr>
          <w:rStyle w:val="Normal1"/>
        </w:rPr>
        <w:t>e Obras Públicas e Infraestructuras y Administración Local y Despoblación, dadas sus competencias en las zonas de afección de la actuación:   viaria y local respectivamente.</w:t>
      </w:r>
    </w:p>
    <w:p w:rsidR="00784B41" w:rsidRDefault="00DE6E82">
      <w:pPr>
        <w:rPr>
          <w:rStyle w:val="Normal1"/>
        </w:rPr>
      </w:pPr>
      <w:r>
        <w:rPr>
          <w:rStyle w:val="Normal1"/>
        </w:rPr>
        <w:t>Las citadas actuaciones no cuentan con financiación en la Dirección General de Adm</w:t>
      </w:r>
      <w:r>
        <w:rPr>
          <w:rStyle w:val="Normal1"/>
        </w:rPr>
        <w:t>inistración y Despoblación para poder acometerlas.</w:t>
      </w:r>
    </w:p>
    <w:p w:rsidR="00784B41" w:rsidRDefault="00DE6E82">
      <w:pPr>
        <w:rPr>
          <w:rStyle w:val="Normal1"/>
        </w:rPr>
      </w:pPr>
      <w:r>
        <w:rPr>
          <w:rStyle w:val="Normal1"/>
        </w:rPr>
        <w:t>La Ley Foral 13/2007, de 4 de abril, de la Hacienda Pública de Navarra, dispone en su artículo 48 párrafo primero que cuando haya de realizarse con cargo al Presupuesto vigente algún gasto que no pueda dem</w:t>
      </w:r>
      <w:r>
        <w:rPr>
          <w:rStyle w:val="Normal1"/>
        </w:rPr>
        <w:t>orarse hasta el ejercicio siguiente y no exista el crédito, el Gobierno de Navarra, a propuesta del Consejero de Economía y Hacienda, remitirá al Parlamento de Navarra un proyecto de ley foral de concesión de un crédito extraordinario. En su párrafo segund</w:t>
      </w:r>
      <w:r>
        <w:rPr>
          <w:rStyle w:val="Normal1"/>
        </w:rPr>
        <w:t>o dispone que el crédito extraordinario pueda financiarse con otros créditos disponibles de cualquier programa de gasto.</w:t>
      </w:r>
    </w:p>
    <w:p w:rsidR="00784B41" w:rsidRDefault="00DE6E82">
      <w:pPr>
        <w:rPr>
          <w:rStyle w:val="Normal1"/>
        </w:rPr>
      </w:pPr>
      <w:r>
        <w:rPr>
          <w:rStyle w:val="Normal1"/>
        </w:rPr>
        <w:t>Asimismo, la presente ley foral mediante la creación de partidas nominativas habilita para la concesión directa de las ayudas a los cit</w:t>
      </w:r>
      <w:r>
        <w:rPr>
          <w:rStyle w:val="Normal1"/>
        </w:rPr>
        <w:t>ados ayuntamientos, de conformidad con lo dispuesto en el artículo 17.2.a) de la Ley Foral 11/2005, de 9 de noviembre, de Subvenciones.</w:t>
      </w:r>
    </w:p>
    <w:p w:rsidR="00784B41" w:rsidRDefault="00DE6E82">
      <w:pPr>
        <w:rPr>
          <w:rStyle w:val="Normal1"/>
        </w:rPr>
      </w:pPr>
      <w:r>
        <w:rPr>
          <w:rStyle w:val="Normal1"/>
          <w:b/>
        </w:rPr>
        <w:t xml:space="preserve">Artículo 1. </w:t>
      </w:r>
      <w:r>
        <w:rPr>
          <w:rStyle w:val="Normal1"/>
        </w:rPr>
        <w:t>Concesión de crédito extraordinario.</w:t>
      </w:r>
    </w:p>
    <w:p w:rsidR="00784B41" w:rsidRDefault="00DE6E82">
      <w:pPr>
        <w:rPr>
          <w:rStyle w:val="Normal1"/>
        </w:rPr>
      </w:pPr>
      <w:r>
        <w:rPr>
          <w:rStyle w:val="Normal1"/>
        </w:rPr>
        <w:t>Se concede un crédito por importe de 934.015 euros en el ejercicio 2021</w:t>
      </w:r>
      <w:r>
        <w:rPr>
          <w:rStyle w:val="Normal1"/>
        </w:rPr>
        <w:t xml:space="preserve"> para la financiación de las necesidades del Departamento de Cohesión Territorial.</w:t>
      </w:r>
    </w:p>
    <w:p w:rsidR="00DE6E82" w:rsidRDefault="00DE6E82" w:rsidP="00DE6E82">
      <w:pPr>
        <w:rPr>
          <w:rStyle w:val="Normal1"/>
        </w:rPr>
      </w:pPr>
      <w:r>
        <w:rPr>
          <w:rStyle w:val="Normal1"/>
        </w:rPr>
        <w:lastRenderedPageBreak/>
        <w:t>Este crédito se aplicará a las siguientes partidas presupuestarias: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158"/>
      </w:tblGrid>
      <w:tr w:rsidR="00DE6E82" w:rsidRPr="003346D7" w:rsidTr="007C785C">
        <w:trPr>
          <w:cantSplit/>
        </w:trPr>
        <w:tc>
          <w:tcPr>
            <w:tcW w:w="5920" w:type="dxa"/>
            <w:shd w:val="clear" w:color="auto" w:fill="auto"/>
          </w:tcPr>
          <w:p w:rsidR="00DE6E82" w:rsidRPr="003346D7" w:rsidRDefault="00DE6E82" w:rsidP="007C785C">
            <w:pPr>
              <w:pStyle w:val="Acuerdos"/>
              <w:spacing w:before="40" w:after="40" w:line="240" w:lineRule="auto"/>
              <w:ind w:firstLine="0"/>
              <w:jc w:val="center"/>
              <w:rPr>
                <w:rFonts w:asciiTheme="majorHAnsi" w:hAnsiTheme="majorHAnsi"/>
                <w:sz w:val="20"/>
                <w:szCs w:val="20"/>
              </w:rPr>
            </w:pPr>
            <w:r w:rsidRPr="003346D7">
              <w:rPr>
                <w:rFonts w:asciiTheme="majorHAnsi" w:hAnsiTheme="majorHAnsi"/>
                <w:sz w:val="20"/>
                <w:szCs w:val="20"/>
              </w:rPr>
              <w:t>PARTIDA</w:t>
            </w:r>
          </w:p>
        </w:tc>
        <w:tc>
          <w:tcPr>
            <w:tcW w:w="2158" w:type="dxa"/>
            <w:shd w:val="clear" w:color="auto" w:fill="auto"/>
          </w:tcPr>
          <w:p w:rsidR="00DE6E82" w:rsidRPr="003346D7" w:rsidRDefault="00DE6E82" w:rsidP="007C785C">
            <w:pPr>
              <w:pStyle w:val="Acuerdos"/>
              <w:spacing w:before="40" w:after="40" w:line="240" w:lineRule="auto"/>
              <w:ind w:firstLine="0"/>
              <w:jc w:val="center"/>
              <w:rPr>
                <w:rFonts w:asciiTheme="majorHAnsi" w:hAnsiTheme="majorHAnsi"/>
                <w:sz w:val="20"/>
                <w:szCs w:val="20"/>
              </w:rPr>
            </w:pPr>
            <w:r w:rsidRPr="003346D7">
              <w:rPr>
                <w:rFonts w:asciiTheme="majorHAnsi" w:hAnsiTheme="majorHAnsi"/>
                <w:sz w:val="20"/>
                <w:szCs w:val="20"/>
              </w:rPr>
              <w:t>IMPORTE</w:t>
            </w:r>
          </w:p>
        </w:tc>
      </w:tr>
      <w:tr w:rsidR="00DE6E82" w:rsidRPr="003346D7" w:rsidTr="007C785C">
        <w:trPr>
          <w:cantSplit/>
        </w:trPr>
        <w:tc>
          <w:tcPr>
            <w:tcW w:w="5920" w:type="dxa"/>
            <w:shd w:val="clear" w:color="auto" w:fill="auto"/>
          </w:tcPr>
          <w:p w:rsidR="00DE6E82" w:rsidRPr="003346D7" w:rsidRDefault="00DE6E82" w:rsidP="007C785C">
            <w:pPr>
              <w:pStyle w:val="Acuerdos"/>
              <w:spacing w:before="40" w:after="40" w:line="240" w:lineRule="auto"/>
              <w:ind w:firstLine="0"/>
              <w:rPr>
                <w:rFonts w:asciiTheme="majorHAnsi" w:hAnsiTheme="majorHAnsi"/>
                <w:sz w:val="20"/>
                <w:szCs w:val="20"/>
              </w:rPr>
            </w:pPr>
            <w:r w:rsidRPr="003346D7">
              <w:rPr>
                <w:rFonts w:asciiTheme="majorHAnsi" w:hAnsiTheme="majorHAnsi"/>
                <w:sz w:val="20"/>
                <w:szCs w:val="20"/>
              </w:rPr>
              <w:t>210001 21300 7609 261634 Travesía de Monreal</w:t>
            </w:r>
          </w:p>
        </w:tc>
        <w:tc>
          <w:tcPr>
            <w:tcW w:w="2158" w:type="dxa"/>
            <w:shd w:val="clear" w:color="auto" w:fill="auto"/>
          </w:tcPr>
          <w:p w:rsidR="00DE6E82" w:rsidRPr="003346D7" w:rsidRDefault="00DE6E82" w:rsidP="007C785C">
            <w:pPr>
              <w:pStyle w:val="Acuerdos"/>
              <w:spacing w:before="40" w:after="40" w:line="240" w:lineRule="auto"/>
              <w:ind w:right="349" w:firstLine="0"/>
              <w:jc w:val="right"/>
              <w:rPr>
                <w:rFonts w:asciiTheme="majorHAnsi" w:hAnsiTheme="majorHAnsi"/>
                <w:sz w:val="20"/>
                <w:szCs w:val="20"/>
              </w:rPr>
            </w:pPr>
            <w:r w:rsidRPr="003346D7">
              <w:rPr>
                <w:rFonts w:asciiTheme="majorHAnsi" w:hAnsiTheme="majorHAnsi"/>
                <w:sz w:val="20"/>
                <w:szCs w:val="20"/>
              </w:rPr>
              <w:t>434.015 euros</w:t>
            </w:r>
          </w:p>
        </w:tc>
      </w:tr>
      <w:tr w:rsidR="00DE6E82" w:rsidRPr="003346D7" w:rsidTr="007C785C">
        <w:trPr>
          <w:cantSplit/>
        </w:trPr>
        <w:tc>
          <w:tcPr>
            <w:tcW w:w="5920" w:type="dxa"/>
            <w:shd w:val="clear" w:color="auto" w:fill="auto"/>
          </w:tcPr>
          <w:p w:rsidR="00DE6E82" w:rsidRPr="003346D7" w:rsidRDefault="00DE6E82" w:rsidP="007C785C">
            <w:pPr>
              <w:pStyle w:val="Acuerdos"/>
              <w:spacing w:before="40" w:after="40" w:line="240" w:lineRule="auto"/>
              <w:ind w:firstLine="0"/>
              <w:rPr>
                <w:rFonts w:asciiTheme="majorHAnsi" w:hAnsiTheme="majorHAnsi"/>
                <w:sz w:val="20"/>
                <w:szCs w:val="20"/>
              </w:rPr>
            </w:pPr>
            <w:r w:rsidRPr="003346D7">
              <w:rPr>
                <w:rFonts w:asciiTheme="majorHAnsi" w:hAnsiTheme="majorHAnsi"/>
                <w:sz w:val="20"/>
                <w:szCs w:val="20"/>
              </w:rPr>
              <w:t xml:space="preserve">210001 21300 7609 261635 Caminos de </w:t>
            </w:r>
            <w:proofErr w:type="spellStart"/>
            <w:r w:rsidRPr="003346D7">
              <w:rPr>
                <w:rFonts w:asciiTheme="majorHAnsi" w:hAnsiTheme="majorHAnsi"/>
                <w:sz w:val="20"/>
                <w:szCs w:val="20"/>
              </w:rPr>
              <w:t>Baztan</w:t>
            </w:r>
            <w:proofErr w:type="spellEnd"/>
          </w:p>
        </w:tc>
        <w:tc>
          <w:tcPr>
            <w:tcW w:w="2158" w:type="dxa"/>
            <w:shd w:val="clear" w:color="auto" w:fill="auto"/>
          </w:tcPr>
          <w:p w:rsidR="00DE6E82" w:rsidRPr="003346D7" w:rsidRDefault="00DE6E82" w:rsidP="007C785C">
            <w:pPr>
              <w:pStyle w:val="Acuerdos"/>
              <w:spacing w:before="40" w:after="40" w:line="240" w:lineRule="auto"/>
              <w:ind w:right="349" w:firstLine="0"/>
              <w:jc w:val="right"/>
              <w:rPr>
                <w:rFonts w:asciiTheme="majorHAnsi" w:hAnsiTheme="majorHAnsi"/>
                <w:sz w:val="20"/>
                <w:szCs w:val="20"/>
              </w:rPr>
            </w:pPr>
            <w:r w:rsidRPr="003346D7">
              <w:rPr>
                <w:rFonts w:asciiTheme="majorHAnsi" w:hAnsiTheme="majorHAnsi"/>
                <w:sz w:val="20"/>
                <w:szCs w:val="20"/>
              </w:rPr>
              <w:t>500.000 euros</w:t>
            </w:r>
          </w:p>
        </w:tc>
      </w:tr>
    </w:tbl>
    <w:p w:rsidR="00DE6E82" w:rsidRPr="00DE6E82" w:rsidRDefault="00DE6E82" w:rsidP="00DE6E82">
      <w:pPr>
        <w:rPr>
          <w:rFonts w:ascii="Helvetica LT Std" w:eastAsia="Helvetica LT Std" w:hAnsi="Helvetica LT Std" w:cs="Helvetica LT Std"/>
          <w:sz w:val="19"/>
          <w:lang w:val="es-ES" w:eastAsia="es-ES" w:bidi="es-ES"/>
        </w:rPr>
      </w:pPr>
      <w:bookmarkStart w:id="0" w:name="_GoBack"/>
      <w:bookmarkEnd w:id="0"/>
    </w:p>
    <w:p w:rsidR="00784B41" w:rsidRDefault="00DE6E82">
      <w:pPr>
        <w:rPr>
          <w:rStyle w:val="Normal1"/>
        </w:rPr>
      </w:pPr>
      <w:r>
        <w:rPr>
          <w:rStyle w:val="Normal1"/>
          <w:b/>
        </w:rPr>
        <w:t xml:space="preserve">Artículo 2. </w:t>
      </w:r>
      <w:r>
        <w:rPr>
          <w:rStyle w:val="Normal1"/>
        </w:rPr>
        <w:t>Financiación del crédito extraordinario.</w:t>
      </w:r>
    </w:p>
    <w:p w:rsidR="00784B41" w:rsidRDefault="00DE6E82">
      <w:pPr>
        <w:rPr>
          <w:rStyle w:val="Normal1"/>
        </w:rPr>
      </w:pPr>
      <w:r>
        <w:rPr>
          <w:rStyle w:val="Normal1"/>
        </w:rPr>
        <w:t>La financiación de este crédito extraordinario y po</w:t>
      </w:r>
      <w:r>
        <w:rPr>
          <w:rStyle w:val="Normal1"/>
        </w:rPr>
        <w:t>r el citado importe de 934.015 euros se realizará con cargo al crédito disponible en la partida del vigente presupuesto de gastos 220003 22200 2090 453202 “Canon de la autovía A-21 Autovía del Pirineo”.</w:t>
      </w:r>
    </w:p>
    <w:p w:rsidR="00784B41" w:rsidRDefault="00DE6E82">
      <w:pPr>
        <w:rPr>
          <w:rStyle w:val="Normal1"/>
        </w:rPr>
      </w:pPr>
      <w:r>
        <w:rPr>
          <w:rStyle w:val="Normal1"/>
          <w:b/>
        </w:rPr>
        <w:t>Disposición final única.</w:t>
      </w:r>
      <w:r>
        <w:rPr>
          <w:rStyle w:val="Normal1"/>
        </w:rPr>
        <w:t xml:space="preserve"> Entrada en vigor.</w:t>
      </w:r>
    </w:p>
    <w:p w:rsidR="00784B41" w:rsidRDefault="00DE6E82">
      <w:pPr>
        <w:rPr>
          <w:rStyle w:val="Normal1"/>
        </w:rPr>
      </w:pPr>
      <w:r>
        <w:rPr>
          <w:rStyle w:val="Normal1"/>
        </w:rPr>
        <w:t>La present</w:t>
      </w:r>
      <w:r>
        <w:rPr>
          <w:rStyle w:val="Normal1"/>
        </w:rPr>
        <w:t>e ley foral entrará en vigor el día siguiente al de su publicación en el Boletín Oficial de Navarra.</w:t>
      </w:r>
    </w:p>
    <w:sectPr w:rsidR="00784B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784B41"/>
    <w:rsid w:val="00784B41"/>
    <w:rsid w:val="00DE6E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paragraph" w:customStyle="1" w:styleId="Acuerdos">
    <w:name w:val="Acuerdos"/>
    <w:basedOn w:val="Normal"/>
    <w:rsid w:val="00DE6E82"/>
    <w:pPr>
      <w:keepLines w:val="0"/>
      <w:tabs>
        <w:tab w:val="left" w:pos="709"/>
        <w:tab w:val="center" w:pos="3856"/>
      </w:tabs>
      <w:spacing w:after="0" w:line="380" w:lineRule="atLeast"/>
      <w:ind w:firstLine="709"/>
      <w:textAlignment w:val="auto"/>
    </w:pPr>
    <w:rPr>
      <w:rFonts w:ascii="Courier New" w:hAnsi="Courier New"/>
      <w:color w:val="auto"/>
      <w:sz w:val="24"/>
      <w:szCs w:val="24"/>
      <w:lang w:val="es-ES" w:eastAsia="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961</Words>
  <Characters>5286</Characters>
  <Application>Microsoft Office Word</Application>
  <DocSecurity>0</DocSecurity>
  <Lines>44</Lines>
  <Paragraphs>12</Paragraphs>
  <ScaleCrop>false</ScaleCrop>
  <Company/>
  <LinksUpToDate>false</LinksUpToDate>
  <CharactersWithSpaces>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Iñaki De Santiago</cp:lastModifiedBy>
  <cp:revision>2</cp:revision>
  <dcterms:created xsi:type="dcterms:W3CDTF">2021-06-09T10:14:00Z</dcterms:created>
  <dcterms:modified xsi:type="dcterms:W3CDTF">2021-06-09T10:15:00Z</dcterms:modified>
</cp:coreProperties>
</file>