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Override PartName="/word/charts/colors4.xml" ContentType="application/vnd.ms-office.chartcolorstyle+xml"/>
  <Override PartName="/word/charts/style4.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C3A32" w:rsidRPr="00204979" w:rsidRDefault="00FA495F" w:rsidP="000849DA">
      <w:pPr>
        <w:pStyle w:val="EstiloPortada"/>
        <w:ind w:left="3969" w:right="-58" w:hanging="427"/>
        <w:jc w:val="right"/>
      </w:pPr>
      <w:r w:rsidRPr="00A8137F">
        <w:rPr>
          <w:rFonts w:ascii="Arial" w:hAnsi="Arial" w:cs="Arial"/>
          <w:noProof/>
          <w:color w:val="808080"/>
          <w:sz w:val="40"/>
          <w:lang w:val="es-ES" w:eastAsia="es-ES"/>
        </w:rPr>
        <mc:AlternateContent>
          <mc:Choice Requires="wps">
            <w:drawing>
              <wp:anchor distT="0" distB="0" distL="114300" distR="114300" simplePos="0" relativeHeight="251657728" behindDoc="0" locked="0" layoutInCell="1" allowOverlap="1" wp14:anchorId="44865297" wp14:editId="701B31B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1A5EFE" w:rsidRPr="003A7956" w:rsidRDefault="001A5EFE" w:rsidP="004C3423">
                            <w:pPr>
                              <w:spacing w:after="0"/>
                              <w:ind w:firstLine="0"/>
                              <w:jc w:val="center"/>
                              <w:rPr>
                                <w:sz w:val="18"/>
                                <w:szCs w:val="18"/>
                                <w:lang w:val="es-ES"/>
                              </w:rPr>
                            </w:pPr>
                            <w:r w:rsidRPr="003A7956">
                              <w:rPr>
                                <w:sz w:val="18"/>
                                <w:szCs w:val="18"/>
                                <w:lang w:val="es-ES"/>
                              </w:rPr>
                              <w:t>CAMARA DE</w:t>
                            </w:r>
                          </w:p>
                          <w:p w:rsidR="001A5EFE" w:rsidRPr="003A7956" w:rsidRDefault="001A5EFE" w:rsidP="004C3423">
                            <w:pPr>
                              <w:spacing w:after="0"/>
                              <w:ind w:firstLine="0"/>
                              <w:jc w:val="center"/>
                              <w:rPr>
                                <w:sz w:val="18"/>
                                <w:szCs w:val="18"/>
                                <w:lang w:val="es-ES"/>
                              </w:rPr>
                            </w:pPr>
                            <w:r w:rsidRPr="003A7956">
                              <w:rPr>
                                <w:sz w:val="18"/>
                                <w:szCs w:val="18"/>
                                <w:lang w:val="es-ES"/>
                              </w:rPr>
                              <w:t>COMPTOS</w:t>
                            </w:r>
                          </w:p>
                          <w:p w:rsidR="001A5EFE" w:rsidRPr="003A7956" w:rsidRDefault="001A5EFE" w:rsidP="004C3423">
                            <w:pPr>
                              <w:spacing w:after="0"/>
                              <w:ind w:firstLine="0"/>
                              <w:jc w:val="center"/>
                              <w:rPr>
                                <w:sz w:val="18"/>
                                <w:szCs w:val="18"/>
                                <w:lang w:val="es-ES"/>
                              </w:rPr>
                            </w:pPr>
                            <w:r w:rsidRPr="003A7956">
                              <w:rPr>
                                <w:sz w:val="18"/>
                                <w:szCs w:val="18"/>
                                <w:lang w:val="es-ES"/>
                              </w:rPr>
                              <w:t>DE NAVARRA</w:t>
                            </w:r>
                          </w:p>
                          <w:p w:rsidR="001A5EFE" w:rsidRPr="003A7956" w:rsidRDefault="001A5EFE" w:rsidP="004C3423">
                            <w:pPr>
                              <w:spacing w:after="0"/>
                              <w:ind w:firstLine="0"/>
                              <w:jc w:val="center"/>
                              <w:rPr>
                                <w:color w:val="808080"/>
                                <w:sz w:val="18"/>
                                <w:szCs w:val="18"/>
                                <w:lang w:val="es-ES"/>
                              </w:rPr>
                            </w:pPr>
                            <w:r w:rsidRPr="003A7956">
                              <w:rPr>
                                <w:color w:val="808080"/>
                                <w:sz w:val="18"/>
                                <w:szCs w:val="18"/>
                                <w:lang w:val="es-ES"/>
                              </w:rPr>
                              <w:t>NAFARROAKO</w:t>
                            </w:r>
                          </w:p>
                          <w:p w:rsidR="001A5EFE" w:rsidRPr="003A7956" w:rsidRDefault="001A5EFE" w:rsidP="004C3423">
                            <w:pPr>
                              <w:spacing w:after="0"/>
                              <w:ind w:firstLine="0"/>
                              <w:jc w:val="center"/>
                              <w:rPr>
                                <w:color w:val="808080"/>
                                <w:sz w:val="18"/>
                                <w:szCs w:val="18"/>
                                <w:lang w:val="es-ES"/>
                              </w:rPr>
                            </w:pPr>
                            <w:r w:rsidRPr="003A7956">
                              <w:rPr>
                                <w:color w:val="808080"/>
                                <w:sz w:val="18"/>
                                <w:szCs w:val="18"/>
                                <w:lang w:val="es-ES"/>
                              </w:rPr>
                              <w:t>KONTUEN</w:t>
                            </w:r>
                          </w:p>
                          <w:p w:rsidR="001A5EFE" w:rsidRPr="003A7956" w:rsidRDefault="001A5EFE" w:rsidP="004C3423">
                            <w:pPr>
                              <w:spacing w:after="0"/>
                              <w:ind w:firstLine="0"/>
                              <w:jc w:val="center"/>
                              <w:rPr>
                                <w:color w:val="808080"/>
                                <w:sz w:val="18"/>
                                <w:szCs w:val="18"/>
                                <w:lang w:val="es-ES"/>
                              </w:rPr>
                            </w:pPr>
                            <w:r w:rsidRPr="003A7956">
                              <w:rPr>
                                <w:color w:val="808080"/>
                                <w:sz w:val="18"/>
                                <w:szCs w:val="18"/>
                                <w:lang w:val="es-ES"/>
                              </w:rPr>
                              <w:t>GANBERA</w:t>
                            </w:r>
                          </w:p>
                          <w:p w:rsidR="001A5EFE" w:rsidRPr="002C7026" w:rsidRDefault="001A5EFE"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4865297"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1A5EFE" w:rsidRPr="003A7956" w:rsidRDefault="001A5EFE" w:rsidP="004C3423">
                      <w:pPr>
                        <w:spacing w:after="0"/>
                        <w:ind w:firstLine="0"/>
                        <w:jc w:val="center"/>
                        <w:rPr>
                          <w:sz w:val="18"/>
                          <w:szCs w:val="18"/>
                          <w:lang w:val="es-ES"/>
                        </w:rPr>
                      </w:pPr>
                      <w:r w:rsidRPr="003A7956">
                        <w:rPr>
                          <w:sz w:val="18"/>
                          <w:szCs w:val="18"/>
                          <w:lang w:val="es-ES"/>
                        </w:rPr>
                        <w:t>CAMARA DE</w:t>
                      </w:r>
                    </w:p>
                    <w:p w:rsidR="001A5EFE" w:rsidRPr="003A7956" w:rsidRDefault="001A5EFE" w:rsidP="004C3423">
                      <w:pPr>
                        <w:spacing w:after="0"/>
                        <w:ind w:firstLine="0"/>
                        <w:jc w:val="center"/>
                        <w:rPr>
                          <w:sz w:val="18"/>
                          <w:szCs w:val="18"/>
                          <w:lang w:val="es-ES"/>
                        </w:rPr>
                      </w:pPr>
                      <w:r w:rsidRPr="003A7956">
                        <w:rPr>
                          <w:sz w:val="18"/>
                          <w:szCs w:val="18"/>
                          <w:lang w:val="es-ES"/>
                        </w:rPr>
                        <w:t>COMPTOS</w:t>
                      </w:r>
                    </w:p>
                    <w:p w:rsidR="001A5EFE" w:rsidRPr="003A7956" w:rsidRDefault="001A5EFE" w:rsidP="004C3423">
                      <w:pPr>
                        <w:spacing w:after="0"/>
                        <w:ind w:firstLine="0"/>
                        <w:jc w:val="center"/>
                        <w:rPr>
                          <w:sz w:val="18"/>
                          <w:szCs w:val="18"/>
                          <w:lang w:val="es-ES"/>
                        </w:rPr>
                      </w:pPr>
                      <w:r w:rsidRPr="003A7956">
                        <w:rPr>
                          <w:sz w:val="18"/>
                          <w:szCs w:val="18"/>
                          <w:lang w:val="es-ES"/>
                        </w:rPr>
                        <w:t>DE NAVARRA</w:t>
                      </w:r>
                    </w:p>
                    <w:p w:rsidR="001A5EFE" w:rsidRPr="003A7956" w:rsidRDefault="001A5EFE" w:rsidP="004C3423">
                      <w:pPr>
                        <w:spacing w:after="0"/>
                        <w:ind w:firstLine="0"/>
                        <w:jc w:val="center"/>
                        <w:rPr>
                          <w:color w:val="808080"/>
                          <w:sz w:val="18"/>
                          <w:szCs w:val="18"/>
                          <w:lang w:val="es-ES"/>
                        </w:rPr>
                      </w:pPr>
                      <w:r w:rsidRPr="003A7956">
                        <w:rPr>
                          <w:color w:val="808080"/>
                          <w:sz w:val="18"/>
                          <w:szCs w:val="18"/>
                          <w:lang w:val="es-ES"/>
                        </w:rPr>
                        <w:t>NAFARROAKO</w:t>
                      </w:r>
                    </w:p>
                    <w:p w:rsidR="001A5EFE" w:rsidRPr="003A7956" w:rsidRDefault="001A5EFE" w:rsidP="004C3423">
                      <w:pPr>
                        <w:spacing w:after="0"/>
                        <w:ind w:firstLine="0"/>
                        <w:jc w:val="center"/>
                        <w:rPr>
                          <w:color w:val="808080"/>
                          <w:sz w:val="18"/>
                          <w:szCs w:val="18"/>
                          <w:lang w:val="es-ES"/>
                        </w:rPr>
                      </w:pPr>
                      <w:r w:rsidRPr="003A7956">
                        <w:rPr>
                          <w:color w:val="808080"/>
                          <w:sz w:val="18"/>
                          <w:szCs w:val="18"/>
                          <w:lang w:val="es-ES"/>
                        </w:rPr>
                        <w:t>KONTUEN</w:t>
                      </w:r>
                    </w:p>
                    <w:p w:rsidR="001A5EFE" w:rsidRPr="003A7956" w:rsidRDefault="001A5EFE" w:rsidP="004C3423">
                      <w:pPr>
                        <w:spacing w:after="0"/>
                        <w:ind w:firstLine="0"/>
                        <w:jc w:val="center"/>
                        <w:rPr>
                          <w:color w:val="808080"/>
                          <w:sz w:val="18"/>
                          <w:szCs w:val="18"/>
                          <w:lang w:val="es-ES"/>
                        </w:rPr>
                      </w:pPr>
                      <w:r w:rsidRPr="003A7956">
                        <w:rPr>
                          <w:color w:val="808080"/>
                          <w:sz w:val="18"/>
                          <w:szCs w:val="18"/>
                          <w:lang w:val="es-ES"/>
                        </w:rPr>
                        <w:t>GANBERA</w:t>
                      </w:r>
                    </w:p>
                    <w:p w:rsidR="001A5EFE" w:rsidRPr="002C7026" w:rsidRDefault="001A5EFE" w:rsidP="002C7026">
                      <w:pPr>
                        <w:spacing w:after="0"/>
                        <w:ind w:firstLine="0"/>
                        <w:jc w:val="center"/>
                        <w:rPr>
                          <w:rFonts w:ascii="Trajan" w:hAnsi="Trajan"/>
                          <w:color w:val="808080"/>
                          <w:sz w:val="18"/>
                          <w:szCs w:val="18"/>
                          <w:lang w:val="es-ES"/>
                        </w:rPr>
                      </w:pPr>
                    </w:p>
                  </w:txbxContent>
                </v:textbox>
              </v:shape>
            </w:pict>
          </mc:Fallback>
        </mc:AlternateContent>
      </w:r>
    </w:p>
    <w:p w:rsidR="006E43C0" w:rsidRPr="006E43C0" w:rsidRDefault="001B054E" w:rsidP="006E43C0">
      <w:pPr>
        <w:pStyle w:val="EstiloPortada"/>
        <w:ind w:left="1276" w:right="0"/>
        <w:jc w:val="right"/>
        <w:rPr>
          <w:sz w:val="36"/>
          <w:szCs w:val="36"/>
        </w:rPr>
      </w:pPr>
      <w:r w:rsidRPr="006E43C0">
        <w:rPr>
          <w:sz w:val="36"/>
          <w:szCs w:val="36"/>
        </w:rPr>
        <w:t xml:space="preserve">Compensación </w:t>
      </w:r>
      <w:r w:rsidR="00580BF6" w:rsidRPr="006E43C0">
        <w:rPr>
          <w:sz w:val="36"/>
          <w:szCs w:val="36"/>
        </w:rPr>
        <w:t>de la Administración</w:t>
      </w:r>
      <w:r w:rsidR="006E43C0" w:rsidRPr="006E43C0">
        <w:rPr>
          <w:sz w:val="36"/>
          <w:szCs w:val="36"/>
        </w:rPr>
        <w:t xml:space="preserve"> </w:t>
      </w:r>
      <w:r w:rsidR="00580BF6" w:rsidRPr="006E43C0">
        <w:rPr>
          <w:sz w:val="36"/>
          <w:szCs w:val="36"/>
        </w:rPr>
        <w:t>de</w:t>
      </w:r>
      <w:r w:rsidR="006E43C0" w:rsidRPr="006E43C0">
        <w:rPr>
          <w:sz w:val="36"/>
          <w:szCs w:val="36"/>
        </w:rPr>
        <w:t xml:space="preserve"> </w:t>
      </w:r>
    </w:p>
    <w:p w:rsidR="006C4DAC" w:rsidRPr="006C4DAC" w:rsidRDefault="00580BF6" w:rsidP="006E43C0">
      <w:pPr>
        <w:pStyle w:val="EstiloPortada"/>
        <w:ind w:left="1276" w:right="0"/>
        <w:jc w:val="right"/>
        <w:rPr>
          <w:sz w:val="40"/>
          <w:szCs w:val="40"/>
        </w:rPr>
      </w:pPr>
      <w:r w:rsidRPr="006E43C0">
        <w:rPr>
          <w:sz w:val="36"/>
          <w:szCs w:val="36"/>
        </w:rPr>
        <w:t xml:space="preserve">la Comunidad Foral de Navarra </w:t>
      </w:r>
      <w:r w:rsidR="002F5AF1" w:rsidRPr="006E43C0">
        <w:rPr>
          <w:sz w:val="36"/>
          <w:szCs w:val="36"/>
        </w:rPr>
        <w:t xml:space="preserve">a </w:t>
      </w:r>
      <w:proofErr w:type="spellStart"/>
      <w:r w:rsidR="002F5AF1" w:rsidRPr="006E43C0">
        <w:rPr>
          <w:sz w:val="36"/>
          <w:szCs w:val="36"/>
        </w:rPr>
        <w:t>Audenasa</w:t>
      </w:r>
      <w:proofErr w:type="spellEnd"/>
      <w:r w:rsidR="002F5AF1" w:rsidRPr="006E43C0">
        <w:rPr>
          <w:sz w:val="36"/>
          <w:szCs w:val="36"/>
        </w:rPr>
        <w:t xml:space="preserve"> </w:t>
      </w:r>
      <w:r w:rsidR="00E5443F" w:rsidRPr="006E43C0">
        <w:rPr>
          <w:sz w:val="36"/>
          <w:szCs w:val="36"/>
        </w:rPr>
        <w:t xml:space="preserve">por descuentos derivados de la política comercial </w:t>
      </w:r>
      <w:r w:rsidRPr="006E43C0">
        <w:rPr>
          <w:sz w:val="36"/>
          <w:szCs w:val="36"/>
        </w:rPr>
        <w:t>(2020)</w:t>
      </w:r>
    </w:p>
    <w:p w:rsidR="001C3A32" w:rsidRPr="006C4DAC" w:rsidRDefault="001C3A32" w:rsidP="00891D73">
      <w:pPr>
        <w:pStyle w:val="texto"/>
        <w:rPr>
          <w:sz w:val="44"/>
          <w:szCs w:val="44"/>
        </w:rPr>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Default="001C3A32" w:rsidP="00891D73">
      <w:pPr>
        <w:pStyle w:val="texto"/>
      </w:pPr>
    </w:p>
    <w:p w:rsidR="006C4DAC" w:rsidRPr="00204979" w:rsidRDefault="006C4DAC"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5B04C5" w:rsidRDefault="00580BF6" w:rsidP="005B04C5">
      <w:pPr>
        <w:pStyle w:val="Fechaportada"/>
      </w:pPr>
      <w:r>
        <w:t>Junio</w:t>
      </w:r>
      <w:r w:rsidR="00253E78" w:rsidRPr="001D4F09">
        <w:t xml:space="preserve"> de 20</w:t>
      </w:r>
      <w:r w:rsidR="005B04C5">
        <w:t>21</w:t>
      </w:r>
    </w:p>
    <w:p w:rsidR="005B04C5" w:rsidRPr="00E703B6" w:rsidRDefault="005B04C5" w:rsidP="005B04C5"/>
    <w:p w:rsidR="008E3FFE" w:rsidRPr="001D4F09" w:rsidRDefault="008E3FFE" w:rsidP="005B04C5">
      <w:pPr>
        <w:pStyle w:val="Fechaportada"/>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rsidRPr="00891D73">
        <w:lastRenderedPageBreak/>
        <w:t>Índice</w:t>
      </w:r>
    </w:p>
    <w:p w:rsidR="00B22711"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75089951" w:history="1">
        <w:r w:rsidR="00B22711" w:rsidRPr="00A96401">
          <w:rPr>
            <w:rStyle w:val="Hipervnculo"/>
            <w:noProof/>
          </w:rPr>
          <w:t>I. Introducción</w:t>
        </w:r>
        <w:r w:rsidR="00B22711">
          <w:rPr>
            <w:noProof/>
            <w:webHidden/>
          </w:rPr>
          <w:tab/>
        </w:r>
        <w:r w:rsidR="00B22711">
          <w:rPr>
            <w:noProof/>
            <w:webHidden/>
          </w:rPr>
          <w:fldChar w:fldCharType="begin"/>
        </w:r>
        <w:r w:rsidR="00B22711">
          <w:rPr>
            <w:noProof/>
            <w:webHidden/>
          </w:rPr>
          <w:instrText xml:space="preserve"> PAGEREF _Toc75089951 \h </w:instrText>
        </w:r>
        <w:r w:rsidR="00B22711">
          <w:rPr>
            <w:noProof/>
            <w:webHidden/>
          </w:rPr>
        </w:r>
        <w:r w:rsidR="00B22711">
          <w:rPr>
            <w:noProof/>
            <w:webHidden/>
          </w:rPr>
          <w:fldChar w:fldCharType="separate"/>
        </w:r>
        <w:r w:rsidR="00F33058">
          <w:rPr>
            <w:noProof/>
            <w:webHidden/>
          </w:rPr>
          <w:t>3</w:t>
        </w:r>
        <w:r w:rsidR="00B22711">
          <w:rPr>
            <w:noProof/>
            <w:webHidden/>
          </w:rPr>
          <w:fldChar w:fldCharType="end"/>
        </w:r>
      </w:hyperlink>
    </w:p>
    <w:p w:rsidR="00B22711" w:rsidRDefault="00B24FC8">
      <w:pPr>
        <w:pStyle w:val="TDC1"/>
        <w:rPr>
          <w:rFonts w:asciiTheme="minorHAnsi" w:eastAsiaTheme="minorEastAsia" w:hAnsiTheme="minorHAnsi" w:cstheme="minorBidi"/>
          <w:smallCaps w:val="0"/>
          <w:noProof/>
          <w:szCs w:val="22"/>
          <w:lang w:val="es-ES" w:eastAsia="es-ES"/>
        </w:rPr>
      </w:pPr>
      <w:hyperlink w:anchor="_Toc75089952" w:history="1">
        <w:r w:rsidR="00B22711" w:rsidRPr="00A96401">
          <w:rPr>
            <w:rStyle w:val="Hipervnculo"/>
            <w:noProof/>
          </w:rPr>
          <w:t>II. Compensación de la Administración de la Comunidad Foral de Navarra por descuentos derivados de la política comercial a Audenasa</w:t>
        </w:r>
        <w:r w:rsidR="00B22711">
          <w:rPr>
            <w:noProof/>
            <w:webHidden/>
          </w:rPr>
          <w:tab/>
        </w:r>
        <w:r w:rsidR="00B22711">
          <w:rPr>
            <w:noProof/>
            <w:webHidden/>
          </w:rPr>
          <w:fldChar w:fldCharType="begin"/>
        </w:r>
        <w:r w:rsidR="00B22711">
          <w:rPr>
            <w:noProof/>
            <w:webHidden/>
          </w:rPr>
          <w:instrText xml:space="preserve"> PAGEREF _Toc75089952 \h </w:instrText>
        </w:r>
        <w:r w:rsidR="00B22711">
          <w:rPr>
            <w:noProof/>
            <w:webHidden/>
          </w:rPr>
        </w:r>
        <w:r w:rsidR="00B22711">
          <w:rPr>
            <w:noProof/>
            <w:webHidden/>
          </w:rPr>
          <w:fldChar w:fldCharType="separate"/>
        </w:r>
        <w:r w:rsidR="00F33058">
          <w:rPr>
            <w:noProof/>
            <w:webHidden/>
          </w:rPr>
          <w:t>5</w:t>
        </w:r>
        <w:r w:rsidR="00B22711">
          <w:rPr>
            <w:noProof/>
            <w:webHidden/>
          </w:rPr>
          <w:fldChar w:fldCharType="end"/>
        </w:r>
      </w:hyperlink>
    </w:p>
    <w:p w:rsidR="00B22711" w:rsidRDefault="00B24FC8">
      <w:pPr>
        <w:pStyle w:val="TDC1"/>
        <w:rPr>
          <w:rFonts w:asciiTheme="minorHAnsi" w:eastAsiaTheme="minorEastAsia" w:hAnsiTheme="minorHAnsi" w:cstheme="minorBidi"/>
          <w:smallCaps w:val="0"/>
          <w:noProof/>
          <w:szCs w:val="22"/>
          <w:lang w:val="es-ES" w:eastAsia="es-ES"/>
        </w:rPr>
      </w:pPr>
      <w:hyperlink w:anchor="_Toc75089953" w:history="1">
        <w:r w:rsidR="00B22711" w:rsidRPr="00A96401">
          <w:rPr>
            <w:rStyle w:val="Hipervnculo"/>
            <w:noProof/>
          </w:rPr>
          <w:t>III. Objetivos y alcance</w:t>
        </w:r>
        <w:r w:rsidR="00B22711">
          <w:rPr>
            <w:noProof/>
            <w:webHidden/>
          </w:rPr>
          <w:tab/>
        </w:r>
        <w:r w:rsidR="00B22711">
          <w:rPr>
            <w:noProof/>
            <w:webHidden/>
          </w:rPr>
          <w:fldChar w:fldCharType="begin"/>
        </w:r>
        <w:r w:rsidR="00B22711">
          <w:rPr>
            <w:noProof/>
            <w:webHidden/>
          </w:rPr>
          <w:instrText xml:space="preserve"> PAGEREF _Toc75089953 \h </w:instrText>
        </w:r>
        <w:r w:rsidR="00B22711">
          <w:rPr>
            <w:noProof/>
            <w:webHidden/>
          </w:rPr>
        </w:r>
        <w:r w:rsidR="00B22711">
          <w:rPr>
            <w:noProof/>
            <w:webHidden/>
          </w:rPr>
          <w:fldChar w:fldCharType="separate"/>
        </w:r>
        <w:r w:rsidR="00F33058">
          <w:rPr>
            <w:noProof/>
            <w:webHidden/>
          </w:rPr>
          <w:t>14</w:t>
        </w:r>
        <w:r w:rsidR="00B22711">
          <w:rPr>
            <w:noProof/>
            <w:webHidden/>
          </w:rPr>
          <w:fldChar w:fldCharType="end"/>
        </w:r>
      </w:hyperlink>
    </w:p>
    <w:p w:rsidR="00B22711" w:rsidRDefault="00B24FC8">
      <w:pPr>
        <w:pStyle w:val="TDC1"/>
        <w:rPr>
          <w:rFonts w:asciiTheme="minorHAnsi" w:eastAsiaTheme="minorEastAsia" w:hAnsiTheme="minorHAnsi" w:cstheme="minorBidi"/>
          <w:smallCaps w:val="0"/>
          <w:noProof/>
          <w:szCs w:val="22"/>
          <w:lang w:val="es-ES" w:eastAsia="es-ES"/>
        </w:rPr>
      </w:pPr>
      <w:hyperlink w:anchor="_Toc75089954" w:history="1">
        <w:r w:rsidR="00B22711" w:rsidRPr="00A96401">
          <w:rPr>
            <w:rStyle w:val="Hipervnculo"/>
            <w:noProof/>
          </w:rPr>
          <w:t>IV. Conclusiones y recomendaciones</w:t>
        </w:r>
        <w:r w:rsidR="00B22711">
          <w:rPr>
            <w:noProof/>
            <w:webHidden/>
          </w:rPr>
          <w:tab/>
        </w:r>
        <w:r w:rsidR="00B22711">
          <w:rPr>
            <w:noProof/>
            <w:webHidden/>
          </w:rPr>
          <w:fldChar w:fldCharType="begin"/>
        </w:r>
        <w:r w:rsidR="00B22711">
          <w:rPr>
            <w:noProof/>
            <w:webHidden/>
          </w:rPr>
          <w:instrText xml:space="preserve"> PAGEREF _Toc75089954 \h </w:instrText>
        </w:r>
        <w:r w:rsidR="00B22711">
          <w:rPr>
            <w:noProof/>
            <w:webHidden/>
          </w:rPr>
        </w:r>
        <w:r w:rsidR="00B22711">
          <w:rPr>
            <w:noProof/>
            <w:webHidden/>
          </w:rPr>
          <w:fldChar w:fldCharType="separate"/>
        </w:r>
        <w:r w:rsidR="00F33058">
          <w:rPr>
            <w:noProof/>
            <w:webHidden/>
          </w:rPr>
          <w:t>15</w:t>
        </w:r>
        <w:r w:rsidR="00B22711">
          <w:rPr>
            <w:noProof/>
            <w:webHidden/>
          </w:rPr>
          <w:fldChar w:fldCharType="end"/>
        </w:r>
      </w:hyperlink>
    </w:p>
    <w:p w:rsidR="00B22711" w:rsidRDefault="00B24FC8">
      <w:pPr>
        <w:pStyle w:val="TDC2"/>
        <w:rPr>
          <w:rFonts w:asciiTheme="minorHAnsi" w:eastAsiaTheme="minorEastAsia" w:hAnsiTheme="minorHAnsi" w:cstheme="minorBidi"/>
          <w:noProof/>
          <w:szCs w:val="22"/>
          <w:lang w:val="es-ES" w:eastAsia="es-ES"/>
        </w:rPr>
      </w:pPr>
      <w:hyperlink w:anchor="_Toc75089955" w:history="1">
        <w:r w:rsidR="00B22711" w:rsidRPr="00A96401">
          <w:rPr>
            <w:rStyle w:val="Hipervnculo"/>
            <w:noProof/>
          </w:rPr>
          <w:t>IV.1. Opinión de fiscalización de cumplimiento de legalidad</w:t>
        </w:r>
        <w:r w:rsidR="00B22711">
          <w:rPr>
            <w:noProof/>
            <w:webHidden/>
          </w:rPr>
          <w:tab/>
        </w:r>
        <w:r w:rsidR="00B22711">
          <w:rPr>
            <w:noProof/>
            <w:webHidden/>
          </w:rPr>
          <w:fldChar w:fldCharType="begin"/>
        </w:r>
        <w:r w:rsidR="00B22711">
          <w:rPr>
            <w:noProof/>
            <w:webHidden/>
          </w:rPr>
          <w:instrText xml:space="preserve"> PAGEREF _Toc75089955 \h </w:instrText>
        </w:r>
        <w:r w:rsidR="00B22711">
          <w:rPr>
            <w:noProof/>
            <w:webHidden/>
          </w:rPr>
        </w:r>
        <w:r w:rsidR="00B22711">
          <w:rPr>
            <w:noProof/>
            <w:webHidden/>
          </w:rPr>
          <w:fldChar w:fldCharType="separate"/>
        </w:r>
        <w:r w:rsidR="00F33058">
          <w:rPr>
            <w:noProof/>
            <w:webHidden/>
          </w:rPr>
          <w:t>16</w:t>
        </w:r>
        <w:r w:rsidR="00B22711">
          <w:rPr>
            <w:noProof/>
            <w:webHidden/>
          </w:rPr>
          <w:fldChar w:fldCharType="end"/>
        </w:r>
      </w:hyperlink>
    </w:p>
    <w:p w:rsidR="00B22711" w:rsidRDefault="00B24FC8">
      <w:pPr>
        <w:pStyle w:val="TDC2"/>
        <w:rPr>
          <w:rFonts w:asciiTheme="minorHAnsi" w:eastAsiaTheme="minorEastAsia" w:hAnsiTheme="minorHAnsi" w:cstheme="minorBidi"/>
          <w:noProof/>
          <w:szCs w:val="22"/>
          <w:lang w:val="es-ES" w:eastAsia="es-ES"/>
        </w:rPr>
      </w:pPr>
      <w:hyperlink w:anchor="_Toc75089956" w:history="1">
        <w:r w:rsidR="00B22711" w:rsidRPr="00A96401">
          <w:rPr>
            <w:rStyle w:val="Hipervnculo"/>
            <w:noProof/>
          </w:rPr>
          <w:t>IV.2. Opinión de auditoría financiera</w:t>
        </w:r>
        <w:r w:rsidR="00B22711">
          <w:rPr>
            <w:noProof/>
            <w:webHidden/>
          </w:rPr>
          <w:tab/>
        </w:r>
        <w:r w:rsidR="00B22711">
          <w:rPr>
            <w:noProof/>
            <w:webHidden/>
          </w:rPr>
          <w:fldChar w:fldCharType="begin"/>
        </w:r>
        <w:r w:rsidR="00B22711">
          <w:rPr>
            <w:noProof/>
            <w:webHidden/>
          </w:rPr>
          <w:instrText xml:space="preserve"> PAGEREF _Toc75089956 \h </w:instrText>
        </w:r>
        <w:r w:rsidR="00B22711">
          <w:rPr>
            <w:noProof/>
            <w:webHidden/>
          </w:rPr>
        </w:r>
        <w:r w:rsidR="00B22711">
          <w:rPr>
            <w:noProof/>
            <w:webHidden/>
          </w:rPr>
          <w:fldChar w:fldCharType="separate"/>
        </w:r>
        <w:r w:rsidR="00F33058">
          <w:rPr>
            <w:noProof/>
            <w:webHidden/>
          </w:rPr>
          <w:t>17</w:t>
        </w:r>
        <w:r w:rsidR="00B22711">
          <w:rPr>
            <w:noProof/>
            <w:webHidden/>
          </w:rPr>
          <w:fldChar w:fldCharType="end"/>
        </w:r>
      </w:hyperlink>
    </w:p>
    <w:p w:rsidR="00B22711" w:rsidRDefault="00B24FC8">
      <w:pPr>
        <w:pStyle w:val="TDC2"/>
        <w:rPr>
          <w:rFonts w:asciiTheme="minorHAnsi" w:eastAsiaTheme="minorEastAsia" w:hAnsiTheme="minorHAnsi" w:cstheme="minorBidi"/>
          <w:noProof/>
          <w:szCs w:val="22"/>
          <w:lang w:val="es-ES" w:eastAsia="es-ES"/>
        </w:rPr>
      </w:pPr>
      <w:hyperlink w:anchor="_Toc75089957" w:history="1">
        <w:r w:rsidR="00B22711" w:rsidRPr="00A96401">
          <w:rPr>
            <w:rStyle w:val="Hipervnculo"/>
            <w:noProof/>
          </w:rPr>
          <w:t>IV.3. Análisis de los posibles efectos de la aprobación de la compensación de noviembre de 2020 en el periodo 2020-2029</w:t>
        </w:r>
        <w:r w:rsidR="00B22711">
          <w:rPr>
            <w:noProof/>
            <w:webHidden/>
          </w:rPr>
          <w:tab/>
        </w:r>
        <w:r w:rsidR="00B22711">
          <w:rPr>
            <w:noProof/>
            <w:webHidden/>
          </w:rPr>
          <w:fldChar w:fldCharType="begin"/>
        </w:r>
        <w:r w:rsidR="00B22711">
          <w:rPr>
            <w:noProof/>
            <w:webHidden/>
          </w:rPr>
          <w:instrText xml:space="preserve"> PAGEREF _Toc75089957 \h </w:instrText>
        </w:r>
        <w:r w:rsidR="00B22711">
          <w:rPr>
            <w:noProof/>
            <w:webHidden/>
          </w:rPr>
        </w:r>
        <w:r w:rsidR="00B22711">
          <w:rPr>
            <w:noProof/>
            <w:webHidden/>
          </w:rPr>
          <w:fldChar w:fldCharType="separate"/>
        </w:r>
        <w:r w:rsidR="00F33058">
          <w:rPr>
            <w:noProof/>
            <w:webHidden/>
          </w:rPr>
          <w:t>18</w:t>
        </w:r>
        <w:r w:rsidR="00B22711">
          <w:rPr>
            <w:noProof/>
            <w:webHidden/>
          </w:rPr>
          <w:fldChar w:fldCharType="end"/>
        </w:r>
      </w:hyperlink>
    </w:p>
    <w:p w:rsidR="00B22711" w:rsidRDefault="00B24FC8">
      <w:pPr>
        <w:pStyle w:val="TDC2"/>
        <w:rPr>
          <w:rFonts w:asciiTheme="minorHAnsi" w:eastAsiaTheme="minorEastAsia" w:hAnsiTheme="minorHAnsi" w:cstheme="minorBidi"/>
          <w:noProof/>
          <w:szCs w:val="22"/>
          <w:lang w:val="es-ES" w:eastAsia="es-ES"/>
        </w:rPr>
      </w:pPr>
      <w:hyperlink w:anchor="_Toc75089958" w:history="1">
        <w:r w:rsidR="00B22711" w:rsidRPr="00A96401">
          <w:rPr>
            <w:rStyle w:val="Hipervnculo"/>
            <w:noProof/>
          </w:rPr>
          <w:t>IV.4. Conclusión final y recomendaciones</w:t>
        </w:r>
        <w:r w:rsidR="00B22711">
          <w:rPr>
            <w:noProof/>
            <w:webHidden/>
          </w:rPr>
          <w:tab/>
        </w:r>
        <w:r w:rsidR="00B22711">
          <w:rPr>
            <w:noProof/>
            <w:webHidden/>
          </w:rPr>
          <w:fldChar w:fldCharType="begin"/>
        </w:r>
        <w:r w:rsidR="00B22711">
          <w:rPr>
            <w:noProof/>
            <w:webHidden/>
          </w:rPr>
          <w:instrText xml:space="preserve"> PAGEREF _Toc75089958 \h </w:instrText>
        </w:r>
        <w:r w:rsidR="00B22711">
          <w:rPr>
            <w:noProof/>
            <w:webHidden/>
          </w:rPr>
        </w:r>
        <w:r w:rsidR="00B22711">
          <w:rPr>
            <w:noProof/>
            <w:webHidden/>
          </w:rPr>
          <w:fldChar w:fldCharType="separate"/>
        </w:r>
        <w:r w:rsidR="00F33058">
          <w:rPr>
            <w:noProof/>
            <w:webHidden/>
          </w:rPr>
          <w:t>23</w:t>
        </w:r>
        <w:r w:rsidR="00B22711">
          <w:rPr>
            <w:noProof/>
            <w:webHidden/>
          </w:rPr>
          <w:fldChar w:fldCharType="end"/>
        </w:r>
      </w:hyperlink>
    </w:p>
    <w:p w:rsidR="00891D73" w:rsidRDefault="0014728F" w:rsidP="003C6E1D">
      <w:pPr>
        <w:pStyle w:val="texto"/>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6C4DAC" w:rsidRPr="00AA7CB8" w:rsidRDefault="006C4DAC" w:rsidP="006C4DAC">
      <w:pPr>
        <w:pStyle w:val="atitulo1"/>
      </w:pPr>
      <w:bookmarkStart w:id="1" w:name="_Toc291067874"/>
      <w:bookmarkStart w:id="2" w:name="_Toc121293081"/>
      <w:bookmarkStart w:id="3" w:name="_Toc121292758"/>
      <w:bookmarkStart w:id="4" w:name="_Toc432757078"/>
      <w:bookmarkStart w:id="5" w:name="_Toc447195010"/>
      <w:bookmarkStart w:id="6" w:name="_Toc499802362"/>
      <w:bookmarkStart w:id="7" w:name="_Toc511907525"/>
      <w:bookmarkStart w:id="8" w:name="_Toc67394574"/>
      <w:bookmarkStart w:id="9" w:name="_Toc75089951"/>
      <w:r w:rsidRPr="00AA7CB8">
        <w:lastRenderedPageBreak/>
        <w:t>I. Introducción</w:t>
      </w:r>
      <w:bookmarkEnd w:id="1"/>
      <w:bookmarkEnd w:id="2"/>
      <w:bookmarkEnd w:id="3"/>
      <w:bookmarkEnd w:id="4"/>
      <w:bookmarkEnd w:id="5"/>
      <w:bookmarkEnd w:id="6"/>
      <w:bookmarkEnd w:id="7"/>
      <w:bookmarkEnd w:id="8"/>
      <w:bookmarkEnd w:id="9"/>
    </w:p>
    <w:p w:rsidR="006C4DAC" w:rsidRDefault="00580BF6" w:rsidP="006C4DAC">
      <w:pPr>
        <w:pStyle w:val="texto"/>
        <w:tabs>
          <w:tab w:val="clear" w:pos="2835"/>
          <w:tab w:val="clear" w:pos="3969"/>
          <w:tab w:val="clear" w:pos="5103"/>
          <w:tab w:val="clear" w:pos="6237"/>
          <w:tab w:val="clear" w:pos="7371"/>
        </w:tabs>
        <w:rPr>
          <w:szCs w:val="26"/>
        </w:rPr>
      </w:pPr>
      <w:r>
        <w:rPr>
          <w:szCs w:val="26"/>
        </w:rPr>
        <w:t>L</w:t>
      </w:r>
      <w:r w:rsidR="006C4DAC" w:rsidRPr="003A6595">
        <w:rPr>
          <w:szCs w:val="26"/>
        </w:rPr>
        <w:t xml:space="preserve">a Junta de Portavoces del Parlamento de Navarra, en su sesión de </w:t>
      </w:r>
      <w:r>
        <w:rPr>
          <w:szCs w:val="26"/>
        </w:rPr>
        <w:t>19 de abril de 2021</w:t>
      </w:r>
      <w:r w:rsidR="006C4DAC">
        <w:rPr>
          <w:szCs w:val="26"/>
        </w:rPr>
        <w:t>,</w:t>
      </w:r>
      <w:r w:rsidR="006C4DAC" w:rsidRPr="003A6595">
        <w:rPr>
          <w:szCs w:val="26"/>
        </w:rPr>
        <w:t xml:space="preserve"> acordó solicitar a la Cámara un informe de fiscalización </w:t>
      </w:r>
      <w:r>
        <w:rPr>
          <w:szCs w:val="26"/>
        </w:rPr>
        <w:t xml:space="preserve">urgente </w:t>
      </w:r>
      <w:r w:rsidR="006C4DAC" w:rsidRPr="003A6595">
        <w:rPr>
          <w:szCs w:val="26"/>
        </w:rPr>
        <w:t>sobre “</w:t>
      </w:r>
      <w:r w:rsidR="006C4DAC" w:rsidRPr="003A6595">
        <w:rPr>
          <w:i/>
          <w:szCs w:val="26"/>
        </w:rPr>
        <w:t xml:space="preserve">la </w:t>
      </w:r>
      <w:r>
        <w:rPr>
          <w:i/>
          <w:szCs w:val="26"/>
        </w:rPr>
        <w:t>fórmula de compensación aplicada en el pago de las facturas por parte del Gobierno de Navarra a AUDENASA en relación con los descuentos que se aplican a usuarios y usuarias de esta vía</w:t>
      </w:r>
      <w:r w:rsidR="006C4DAC" w:rsidRPr="003A6595">
        <w:rPr>
          <w:szCs w:val="26"/>
        </w:rPr>
        <w:t>”.</w:t>
      </w:r>
    </w:p>
    <w:p w:rsidR="00580BF6" w:rsidRPr="00434D41" w:rsidRDefault="00580BF6" w:rsidP="00434D41">
      <w:pPr>
        <w:pStyle w:val="texto"/>
        <w:tabs>
          <w:tab w:val="clear" w:pos="2835"/>
          <w:tab w:val="clear" w:pos="3969"/>
          <w:tab w:val="clear" w:pos="5103"/>
          <w:tab w:val="clear" w:pos="6237"/>
          <w:tab w:val="clear" w:pos="7371"/>
          <w:tab w:val="left" w:pos="567"/>
        </w:tabs>
        <w:ind w:left="284" w:firstLine="0"/>
        <w:rPr>
          <w:szCs w:val="26"/>
        </w:rPr>
      </w:pPr>
      <w:r w:rsidRPr="00434D41">
        <w:rPr>
          <w:szCs w:val="26"/>
        </w:rPr>
        <w:t>En concreto la petición requería el análisis de los siguientes aspectos:</w:t>
      </w:r>
    </w:p>
    <w:p w:rsidR="00580BF6" w:rsidRPr="00580BF6" w:rsidRDefault="00434D41" w:rsidP="00434D41">
      <w:pPr>
        <w:pStyle w:val="texto"/>
        <w:numPr>
          <w:ilvl w:val="0"/>
          <w:numId w:val="10"/>
        </w:numPr>
        <w:tabs>
          <w:tab w:val="clear" w:pos="2835"/>
          <w:tab w:val="clear" w:pos="3969"/>
          <w:tab w:val="clear" w:pos="5103"/>
          <w:tab w:val="clear" w:pos="6237"/>
          <w:tab w:val="clear" w:pos="7371"/>
          <w:tab w:val="left" w:pos="567"/>
        </w:tabs>
        <w:ind w:left="0" w:firstLine="284"/>
        <w:rPr>
          <w:i/>
          <w:sz w:val="24"/>
        </w:rPr>
      </w:pPr>
      <w:r>
        <w:rPr>
          <w:i/>
          <w:sz w:val="24"/>
        </w:rPr>
        <w:t>“..</w:t>
      </w:r>
      <w:r w:rsidR="00580BF6" w:rsidRPr="00580BF6">
        <w:rPr>
          <w:i/>
          <w:sz w:val="24"/>
        </w:rPr>
        <w:t>.Si se han producido cambios en la aplicación de la fórmula acordada (en el contrato de concesión o en los diferentes convenios) para la compensación a la e</w:t>
      </w:r>
      <w:r w:rsidR="00580BF6" w:rsidRPr="00580BF6">
        <w:rPr>
          <w:i/>
          <w:sz w:val="24"/>
        </w:rPr>
        <w:t>m</w:t>
      </w:r>
      <w:r w:rsidR="00580BF6" w:rsidRPr="00580BF6">
        <w:rPr>
          <w:i/>
          <w:sz w:val="24"/>
        </w:rPr>
        <w:t>presa adjudicataria de los descuentos en la autopista AP-15.</w:t>
      </w:r>
    </w:p>
    <w:p w:rsidR="00580BF6" w:rsidRPr="00580BF6" w:rsidRDefault="00580BF6" w:rsidP="00580BF6">
      <w:pPr>
        <w:pStyle w:val="texto"/>
        <w:numPr>
          <w:ilvl w:val="0"/>
          <w:numId w:val="10"/>
        </w:numPr>
        <w:tabs>
          <w:tab w:val="clear" w:pos="2835"/>
          <w:tab w:val="clear" w:pos="3969"/>
          <w:tab w:val="clear" w:pos="5103"/>
          <w:tab w:val="clear" w:pos="6237"/>
          <w:tab w:val="clear" w:pos="7371"/>
          <w:tab w:val="left" w:pos="567"/>
        </w:tabs>
        <w:ind w:left="0" w:firstLine="284"/>
        <w:rPr>
          <w:i/>
          <w:sz w:val="24"/>
        </w:rPr>
      </w:pPr>
      <w:r w:rsidRPr="00580BF6">
        <w:rPr>
          <w:i/>
          <w:sz w:val="24"/>
        </w:rPr>
        <w:t>Si los convenios suscritos entre el gobierno de Navarra y AUDENASA están s</w:t>
      </w:r>
      <w:r w:rsidRPr="00580BF6">
        <w:rPr>
          <w:i/>
          <w:sz w:val="24"/>
        </w:rPr>
        <w:t>u</w:t>
      </w:r>
      <w:r w:rsidRPr="00580BF6">
        <w:rPr>
          <w:i/>
          <w:sz w:val="24"/>
        </w:rPr>
        <w:t>jetos a legalidad, en el caso de una disminución del tráfico.</w:t>
      </w:r>
    </w:p>
    <w:p w:rsidR="00580BF6" w:rsidRPr="00580BF6" w:rsidRDefault="00580BF6" w:rsidP="00580BF6">
      <w:pPr>
        <w:pStyle w:val="texto"/>
        <w:numPr>
          <w:ilvl w:val="0"/>
          <w:numId w:val="10"/>
        </w:numPr>
        <w:tabs>
          <w:tab w:val="clear" w:pos="2835"/>
          <w:tab w:val="clear" w:pos="3969"/>
          <w:tab w:val="clear" w:pos="5103"/>
          <w:tab w:val="clear" w:pos="6237"/>
          <w:tab w:val="clear" w:pos="7371"/>
          <w:tab w:val="left" w:pos="567"/>
        </w:tabs>
        <w:ind w:left="0" w:firstLine="284"/>
        <w:rPr>
          <w:i/>
          <w:sz w:val="24"/>
        </w:rPr>
      </w:pPr>
      <w:r w:rsidRPr="00580BF6">
        <w:rPr>
          <w:i/>
          <w:sz w:val="24"/>
        </w:rPr>
        <w:t>Si el importe de la mencionada factura que el Departamento de Economía y Hacienda ha asumido emitir y abonar a AUDENASA es acorde a la legalidad…”.</w:t>
      </w:r>
    </w:p>
    <w:p w:rsidR="00580BF6" w:rsidRPr="00580BF6" w:rsidRDefault="00580BF6" w:rsidP="006C4DAC">
      <w:pPr>
        <w:pStyle w:val="texto"/>
        <w:tabs>
          <w:tab w:val="clear" w:pos="2835"/>
          <w:tab w:val="clear" w:pos="3969"/>
          <w:tab w:val="clear" w:pos="5103"/>
          <w:tab w:val="clear" w:pos="6237"/>
          <w:tab w:val="clear" w:pos="7371"/>
        </w:tabs>
        <w:rPr>
          <w:i/>
          <w:szCs w:val="26"/>
        </w:rPr>
      </w:pPr>
      <w:r>
        <w:rPr>
          <w:szCs w:val="26"/>
        </w:rPr>
        <w:t xml:space="preserve">Por otro lado, el Pleno del Parlamento de Navarra, en su sesión celebrada el </w:t>
      </w:r>
      <w:r w:rsidR="00434D41">
        <w:rPr>
          <w:szCs w:val="26"/>
        </w:rPr>
        <w:t>13</w:t>
      </w:r>
      <w:r>
        <w:rPr>
          <w:szCs w:val="26"/>
        </w:rPr>
        <w:t xml:space="preserve"> de mayo de 2021, solicitó la emisión de un informe de fiscalización fina</w:t>
      </w:r>
      <w:r>
        <w:rPr>
          <w:szCs w:val="26"/>
        </w:rPr>
        <w:t>n</w:t>
      </w:r>
      <w:r>
        <w:rPr>
          <w:szCs w:val="26"/>
        </w:rPr>
        <w:t>cier</w:t>
      </w:r>
      <w:r w:rsidR="005F5B32">
        <w:rPr>
          <w:szCs w:val="26"/>
        </w:rPr>
        <w:t>a</w:t>
      </w:r>
      <w:r>
        <w:rPr>
          <w:szCs w:val="26"/>
        </w:rPr>
        <w:t xml:space="preserve"> y de legalidad extraordinario y urgente sobre </w:t>
      </w:r>
      <w:r w:rsidRPr="00580BF6">
        <w:rPr>
          <w:i/>
          <w:szCs w:val="26"/>
        </w:rPr>
        <w:t>“los acuerdos del Gobierno de Navarra de fecha 24 de febrero de 2021 por los que se procedía a:</w:t>
      </w:r>
    </w:p>
    <w:p w:rsidR="00580BF6" w:rsidRPr="00580BF6" w:rsidRDefault="00580BF6" w:rsidP="006B242C">
      <w:pPr>
        <w:pStyle w:val="texto"/>
        <w:numPr>
          <w:ilvl w:val="0"/>
          <w:numId w:val="10"/>
        </w:numPr>
        <w:tabs>
          <w:tab w:val="clear" w:pos="2835"/>
          <w:tab w:val="clear" w:pos="3969"/>
          <w:tab w:val="clear" w:pos="5103"/>
          <w:tab w:val="clear" w:pos="6237"/>
          <w:tab w:val="clear" w:pos="7371"/>
          <w:tab w:val="left" w:pos="567"/>
        </w:tabs>
        <w:spacing w:after="120"/>
        <w:ind w:left="0" w:firstLine="284"/>
        <w:rPr>
          <w:i/>
          <w:sz w:val="24"/>
        </w:rPr>
      </w:pPr>
      <w:r w:rsidRPr="00580BF6">
        <w:rPr>
          <w:i/>
          <w:sz w:val="24"/>
        </w:rPr>
        <w:t>Resolver la discrepancia surgida entre el Departamento de Economía y H</w:t>
      </w:r>
      <w:r w:rsidRPr="00580BF6">
        <w:rPr>
          <w:i/>
          <w:sz w:val="24"/>
        </w:rPr>
        <w:t>a</w:t>
      </w:r>
      <w:r w:rsidRPr="00580BF6">
        <w:rPr>
          <w:i/>
          <w:sz w:val="24"/>
        </w:rPr>
        <w:t>cien</w:t>
      </w:r>
      <w:r w:rsidR="00000CD6">
        <w:rPr>
          <w:i/>
          <w:sz w:val="24"/>
        </w:rPr>
        <w:t>d</w:t>
      </w:r>
      <w:r w:rsidRPr="00580BF6">
        <w:rPr>
          <w:i/>
          <w:sz w:val="24"/>
        </w:rPr>
        <w:t>a y la Intervención General, en el sentido propuesto por el Departamento de Economía y Hacienda de estimar el recurso de alzada interpuesto por AUDENASA contra la Orden Foral 41E/2020, de 31 de diciembre, de la Consejera de Economía y Hacienda, que ordenó el pago de la factura correspondiente a la liquidación del mes de noviembre de 2020, en relación con la política de descuentos del Gobierno de N</w:t>
      </w:r>
      <w:r w:rsidRPr="00580BF6">
        <w:rPr>
          <w:i/>
          <w:sz w:val="24"/>
        </w:rPr>
        <w:t>a</w:t>
      </w:r>
      <w:r w:rsidRPr="00580BF6">
        <w:rPr>
          <w:i/>
          <w:sz w:val="24"/>
        </w:rPr>
        <w:t>varra en la AP-15.”</w:t>
      </w:r>
    </w:p>
    <w:p w:rsidR="00580BF6" w:rsidRPr="00580BF6" w:rsidRDefault="00580BF6" w:rsidP="00580BF6">
      <w:pPr>
        <w:pStyle w:val="texto"/>
        <w:numPr>
          <w:ilvl w:val="0"/>
          <w:numId w:val="10"/>
        </w:numPr>
        <w:tabs>
          <w:tab w:val="clear" w:pos="2835"/>
          <w:tab w:val="clear" w:pos="3969"/>
          <w:tab w:val="clear" w:pos="5103"/>
          <w:tab w:val="clear" w:pos="6237"/>
          <w:tab w:val="clear" w:pos="7371"/>
          <w:tab w:val="left" w:pos="567"/>
        </w:tabs>
        <w:ind w:left="0" w:firstLine="284"/>
        <w:rPr>
          <w:i/>
          <w:sz w:val="24"/>
        </w:rPr>
      </w:pPr>
      <w:r w:rsidRPr="00580BF6">
        <w:rPr>
          <w:i/>
          <w:sz w:val="24"/>
        </w:rPr>
        <w:t xml:space="preserve">“Estimar el recurso de alzada interpuesto </w:t>
      </w:r>
      <w:r w:rsidRPr="00000CD6">
        <w:rPr>
          <w:i/>
          <w:sz w:val="24"/>
        </w:rPr>
        <w:t xml:space="preserve">por </w:t>
      </w:r>
      <w:r w:rsidR="00000CD6" w:rsidRPr="00000CD6">
        <w:rPr>
          <w:i/>
          <w:sz w:val="24"/>
        </w:rPr>
        <w:t>la</w:t>
      </w:r>
      <w:r w:rsidRPr="00000CD6">
        <w:rPr>
          <w:i/>
          <w:sz w:val="24"/>
        </w:rPr>
        <w:t xml:space="preserve"> representación de AUDEN</w:t>
      </w:r>
      <w:r w:rsidRPr="00000CD6">
        <w:rPr>
          <w:i/>
          <w:sz w:val="24"/>
        </w:rPr>
        <w:t>A</w:t>
      </w:r>
      <w:r w:rsidRPr="00000CD6">
        <w:rPr>
          <w:i/>
          <w:sz w:val="24"/>
        </w:rPr>
        <w:t>SA, contra la Orden Foral 41E/2020, de 31 de diciembre, de la Consejera de Econ</w:t>
      </w:r>
      <w:r w:rsidRPr="00000CD6">
        <w:rPr>
          <w:i/>
          <w:sz w:val="24"/>
        </w:rPr>
        <w:t>o</w:t>
      </w:r>
      <w:r w:rsidRPr="00000CD6">
        <w:rPr>
          <w:i/>
          <w:sz w:val="24"/>
        </w:rPr>
        <w:t>mía y</w:t>
      </w:r>
      <w:r w:rsidRPr="00580BF6">
        <w:rPr>
          <w:i/>
          <w:sz w:val="24"/>
        </w:rPr>
        <w:t xml:space="preserve"> Hacienda, por la que se ordenaba el pago de la factura correspondiente al mes de noviembre de 2020, en relación con la política de descuentos del Gobierno de N</w:t>
      </w:r>
      <w:r w:rsidRPr="00580BF6">
        <w:rPr>
          <w:i/>
          <w:sz w:val="24"/>
        </w:rPr>
        <w:t>a</w:t>
      </w:r>
      <w:r w:rsidRPr="00580BF6">
        <w:rPr>
          <w:i/>
          <w:sz w:val="24"/>
        </w:rPr>
        <w:t>varra en la AP-15, por importe de 6.284.728,28 euros. Dado que ya se ha abonado a AUDENASA el importe fijado en la orden foral recurrida, procede abonar el importe restante, esto es 5.077.559,88 euros</w:t>
      </w:r>
      <w:r w:rsidR="00434D41">
        <w:rPr>
          <w:i/>
          <w:sz w:val="24"/>
        </w:rPr>
        <w:t>…</w:t>
      </w:r>
      <w:r w:rsidRPr="00580BF6">
        <w:rPr>
          <w:i/>
          <w:sz w:val="24"/>
        </w:rPr>
        <w:t>”.</w:t>
      </w:r>
    </w:p>
    <w:p w:rsidR="006C4DAC" w:rsidRPr="00902A4B" w:rsidRDefault="006C4DAC" w:rsidP="006C4DAC">
      <w:pPr>
        <w:pStyle w:val="texto"/>
        <w:tabs>
          <w:tab w:val="clear" w:pos="2835"/>
          <w:tab w:val="clear" w:pos="3969"/>
          <w:tab w:val="clear" w:pos="5103"/>
          <w:tab w:val="clear" w:pos="6237"/>
          <w:tab w:val="clear" w:pos="7371"/>
        </w:tabs>
        <w:rPr>
          <w:szCs w:val="26"/>
        </w:rPr>
      </w:pPr>
      <w:r w:rsidRPr="00490649">
        <w:rPr>
          <w:szCs w:val="26"/>
        </w:rPr>
        <w:t xml:space="preserve">Este trabajo se incorporó </w:t>
      </w:r>
      <w:r>
        <w:rPr>
          <w:szCs w:val="26"/>
        </w:rPr>
        <w:t>a</w:t>
      </w:r>
      <w:r w:rsidRPr="00490649">
        <w:rPr>
          <w:szCs w:val="26"/>
        </w:rPr>
        <w:t xml:space="preserve">l programa anual de fiscalización que la Cámara de Comptos aprobó para el año </w:t>
      </w:r>
      <w:r w:rsidR="00580BF6">
        <w:rPr>
          <w:szCs w:val="26"/>
        </w:rPr>
        <w:t>2021</w:t>
      </w:r>
      <w:r>
        <w:rPr>
          <w:szCs w:val="26"/>
        </w:rPr>
        <w:t xml:space="preserve"> y ha sido realizado por un equipo integr</w:t>
      </w:r>
      <w:r>
        <w:rPr>
          <w:szCs w:val="26"/>
        </w:rPr>
        <w:t>a</w:t>
      </w:r>
      <w:r>
        <w:rPr>
          <w:szCs w:val="26"/>
        </w:rPr>
        <w:t xml:space="preserve">do por </w:t>
      </w:r>
      <w:r w:rsidR="00580BF6">
        <w:rPr>
          <w:szCs w:val="26"/>
        </w:rPr>
        <w:t>una técnica de auditoría</w:t>
      </w:r>
      <w:r>
        <w:rPr>
          <w:szCs w:val="26"/>
        </w:rPr>
        <w:t xml:space="preserve"> y una auditora</w:t>
      </w:r>
      <w:r w:rsidR="003A16AF">
        <w:rPr>
          <w:szCs w:val="26"/>
        </w:rPr>
        <w:t xml:space="preserve"> </w:t>
      </w:r>
      <w:r>
        <w:rPr>
          <w:szCs w:val="26"/>
        </w:rPr>
        <w:t xml:space="preserve">con la </w:t>
      </w:r>
      <w:r w:rsidRPr="00902A4B">
        <w:rPr>
          <w:szCs w:val="26"/>
        </w:rPr>
        <w:t>colaboración de los serv</w:t>
      </w:r>
      <w:r w:rsidRPr="00902A4B">
        <w:rPr>
          <w:szCs w:val="26"/>
        </w:rPr>
        <w:t>i</w:t>
      </w:r>
      <w:r w:rsidRPr="00902A4B">
        <w:rPr>
          <w:szCs w:val="26"/>
        </w:rPr>
        <w:t xml:space="preserve">cios jurídicos, informáticos y administrativos de la Cámara de Comptos, entre el mes de </w:t>
      </w:r>
      <w:r w:rsidR="00580BF6">
        <w:rPr>
          <w:szCs w:val="26"/>
        </w:rPr>
        <w:t>mayo y junio</w:t>
      </w:r>
      <w:r>
        <w:rPr>
          <w:szCs w:val="26"/>
        </w:rPr>
        <w:t xml:space="preserve"> de 2021</w:t>
      </w:r>
      <w:r w:rsidRPr="00902A4B">
        <w:rPr>
          <w:szCs w:val="26"/>
        </w:rPr>
        <w:t>.</w:t>
      </w:r>
    </w:p>
    <w:p w:rsidR="006C4DAC" w:rsidRDefault="006C4DAC" w:rsidP="006C4DAC">
      <w:pPr>
        <w:pStyle w:val="texto"/>
        <w:tabs>
          <w:tab w:val="clear" w:pos="2835"/>
          <w:tab w:val="clear" w:pos="3969"/>
          <w:tab w:val="clear" w:pos="5103"/>
          <w:tab w:val="clear" w:pos="6237"/>
          <w:tab w:val="clear" w:pos="7371"/>
        </w:tabs>
        <w:rPr>
          <w:szCs w:val="26"/>
        </w:rPr>
      </w:pPr>
      <w:r w:rsidRPr="00902A4B">
        <w:rPr>
          <w:szCs w:val="26"/>
        </w:rPr>
        <w:t>El informe se estructura en cuatro epígrafes incluida esta introducción; en el segundo</w:t>
      </w:r>
      <w:r w:rsidR="004F2BA0">
        <w:rPr>
          <w:szCs w:val="26"/>
        </w:rPr>
        <w:t xml:space="preserve"> se describen aspectos generales relacionados con la compensación por descuentos a </w:t>
      </w:r>
      <w:r w:rsidR="00C12784">
        <w:rPr>
          <w:szCs w:val="26"/>
        </w:rPr>
        <w:t>Auto</w:t>
      </w:r>
      <w:r w:rsidR="00CE20A2">
        <w:rPr>
          <w:szCs w:val="26"/>
        </w:rPr>
        <w:t>pistas de Navarra S.A. (</w:t>
      </w:r>
      <w:proofErr w:type="spellStart"/>
      <w:r w:rsidR="00CE20A2">
        <w:rPr>
          <w:szCs w:val="26"/>
        </w:rPr>
        <w:t>Audenasa</w:t>
      </w:r>
      <w:proofErr w:type="spellEnd"/>
      <w:r w:rsidR="00C12784">
        <w:rPr>
          <w:szCs w:val="26"/>
        </w:rPr>
        <w:t xml:space="preserve"> en adelante)</w:t>
      </w:r>
      <w:r w:rsidR="004F2BA0">
        <w:rPr>
          <w:szCs w:val="26"/>
        </w:rPr>
        <w:t xml:space="preserve"> por parte de la </w:t>
      </w:r>
      <w:r w:rsidR="004F2BA0">
        <w:rPr>
          <w:szCs w:val="26"/>
        </w:rPr>
        <w:lastRenderedPageBreak/>
        <w:t xml:space="preserve">Administración de la Comunidad Foral de Navarra (ACFN en adelante); </w:t>
      </w:r>
      <w:r w:rsidRPr="00902A4B">
        <w:rPr>
          <w:szCs w:val="26"/>
        </w:rPr>
        <w:t>el te</w:t>
      </w:r>
      <w:r w:rsidRPr="00902A4B">
        <w:rPr>
          <w:szCs w:val="26"/>
        </w:rPr>
        <w:t>r</w:t>
      </w:r>
      <w:r w:rsidRPr="00902A4B">
        <w:rPr>
          <w:szCs w:val="26"/>
        </w:rPr>
        <w:t>cero contiene los objetivos</w:t>
      </w:r>
      <w:r w:rsidR="004F2BA0">
        <w:rPr>
          <w:szCs w:val="26"/>
        </w:rPr>
        <w:t xml:space="preserve"> y</w:t>
      </w:r>
      <w:r w:rsidR="002F5AF1">
        <w:rPr>
          <w:szCs w:val="26"/>
        </w:rPr>
        <w:t xml:space="preserve"> el</w:t>
      </w:r>
      <w:r w:rsidRPr="00902A4B">
        <w:rPr>
          <w:szCs w:val="26"/>
        </w:rPr>
        <w:t xml:space="preserve"> </w:t>
      </w:r>
      <w:r w:rsidR="004F2BA0">
        <w:rPr>
          <w:szCs w:val="26"/>
        </w:rPr>
        <w:t>alcance del</w:t>
      </w:r>
      <w:r w:rsidRPr="00902A4B">
        <w:rPr>
          <w:szCs w:val="26"/>
        </w:rPr>
        <w:t xml:space="preserve"> trabajo, y el cuarto, expone las co</w:t>
      </w:r>
      <w:r w:rsidRPr="00902A4B">
        <w:rPr>
          <w:szCs w:val="26"/>
        </w:rPr>
        <w:t>n</w:t>
      </w:r>
      <w:r w:rsidRPr="00902A4B">
        <w:rPr>
          <w:szCs w:val="26"/>
        </w:rPr>
        <w:t>clusione</w:t>
      </w:r>
      <w:r w:rsidR="009A3D69">
        <w:rPr>
          <w:szCs w:val="26"/>
        </w:rPr>
        <w:t>s y recomendaciones alcanzadas.</w:t>
      </w:r>
    </w:p>
    <w:p w:rsidR="009A3D69" w:rsidRDefault="009A3D69" w:rsidP="009A3D69">
      <w:pPr>
        <w:pStyle w:val="texto"/>
        <w:tabs>
          <w:tab w:val="clear" w:pos="2835"/>
          <w:tab w:val="clear" w:pos="3969"/>
          <w:tab w:val="clear" w:pos="5103"/>
          <w:tab w:val="clear" w:pos="6237"/>
          <w:tab w:val="clear" w:pos="7371"/>
        </w:tabs>
      </w:pPr>
      <w:r w:rsidRPr="00DA0F23">
        <w:t>De conformidad con lo previsto en el artículo 11</w:t>
      </w:r>
      <w:r>
        <w:t>.2</w:t>
      </w:r>
      <w:r w:rsidRPr="00DA0F23">
        <w:t xml:space="preserve"> de la Ley Foral 19/1984,</w:t>
      </w:r>
      <w:r>
        <w:t xml:space="preserve"> </w:t>
      </w:r>
      <w:r w:rsidRPr="00DA0F23">
        <w:t>reguladora de la Cámara de Comptos de Navarra, los resultados de este trabajo</w:t>
      </w:r>
      <w:r>
        <w:t xml:space="preserve"> </w:t>
      </w:r>
      <w:r w:rsidRPr="00DA0F23">
        <w:t>se pusieron de manifiesto</w:t>
      </w:r>
      <w:r>
        <w:t>, con el fin de que formularan alegaciones, a las pe</w:t>
      </w:r>
      <w:r>
        <w:t>r</w:t>
      </w:r>
      <w:r>
        <w:t>sonas que ocupaban los siguientes cargos:</w:t>
      </w:r>
    </w:p>
    <w:p w:rsidR="009A3D69" w:rsidRPr="004B6A83" w:rsidRDefault="009A3D69" w:rsidP="009A3D69">
      <w:pPr>
        <w:pStyle w:val="texto"/>
        <w:numPr>
          <w:ilvl w:val="0"/>
          <w:numId w:val="29"/>
        </w:numPr>
        <w:tabs>
          <w:tab w:val="clear" w:pos="2835"/>
          <w:tab w:val="clear" w:pos="3969"/>
          <w:tab w:val="clear" w:pos="5103"/>
          <w:tab w:val="clear" w:pos="6237"/>
          <w:tab w:val="clear" w:pos="7371"/>
          <w:tab w:val="left" w:pos="480"/>
          <w:tab w:val="num" w:pos="600"/>
          <w:tab w:val="num" w:pos="720"/>
        </w:tabs>
        <w:ind w:left="0" w:firstLine="290"/>
      </w:pPr>
      <w:r>
        <w:t>Consejera del Departamento de Economía y Hacienda</w:t>
      </w:r>
      <w:r>
        <w:rPr>
          <w:lang w:val="es-ES"/>
        </w:rPr>
        <w:t>.</w:t>
      </w:r>
    </w:p>
    <w:p w:rsidR="009A3D69" w:rsidRDefault="009A3D69" w:rsidP="009A3D69">
      <w:pPr>
        <w:pStyle w:val="texto"/>
        <w:numPr>
          <w:ilvl w:val="0"/>
          <w:numId w:val="29"/>
        </w:numPr>
        <w:tabs>
          <w:tab w:val="clear" w:pos="2835"/>
          <w:tab w:val="clear" w:pos="3969"/>
          <w:tab w:val="clear" w:pos="5103"/>
          <w:tab w:val="clear" w:pos="6237"/>
          <w:tab w:val="clear" w:pos="7371"/>
          <w:tab w:val="left" w:pos="480"/>
          <w:tab w:val="num" w:pos="600"/>
          <w:tab w:val="num" w:pos="720"/>
        </w:tabs>
        <w:ind w:left="0" w:firstLine="290"/>
      </w:pPr>
      <w:r>
        <w:t xml:space="preserve">Gerente de </w:t>
      </w:r>
      <w:r>
        <w:rPr>
          <w:szCs w:val="26"/>
        </w:rPr>
        <w:t>Autopistas de Navarra S.A.</w:t>
      </w:r>
    </w:p>
    <w:p w:rsidR="009A3D69" w:rsidRDefault="009A3D69" w:rsidP="009A3D69">
      <w:pPr>
        <w:pStyle w:val="texto"/>
        <w:tabs>
          <w:tab w:val="clear" w:pos="2835"/>
          <w:tab w:val="clear" w:pos="3969"/>
          <w:tab w:val="clear" w:pos="5103"/>
          <w:tab w:val="clear" w:pos="6237"/>
          <w:tab w:val="clear" w:pos="7371"/>
        </w:tabs>
      </w:pPr>
      <w:r>
        <w:t>No se han presentado alegaciones</w:t>
      </w:r>
      <w:r w:rsidR="002B2F5D">
        <w:t xml:space="preserve">, </w:t>
      </w:r>
      <w:r w:rsidR="002B2F5D">
        <w:rPr>
          <w:szCs w:val="26"/>
        </w:rPr>
        <w:t>por lo que este informe se eleva a defin</w:t>
      </w:r>
      <w:r w:rsidR="002B2F5D">
        <w:rPr>
          <w:szCs w:val="26"/>
        </w:rPr>
        <w:t>i</w:t>
      </w:r>
      <w:r w:rsidR="002B2F5D">
        <w:rPr>
          <w:szCs w:val="26"/>
        </w:rPr>
        <w:t>tivo.</w:t>
      </w:r>
    </w:p>
    <w:p w:rsidR="004F2BA0" w:rsidRDefault="006C4DAC" w:rsidP="006C4DAC">
      <w:pPr>
        <w:pStyle w:val="texto"/>
        <w:tabs>
          <w:tab w:val="clear" w:pos="2835"/>
          <w:tab w:val="clear" w:pos="3969"/>
          <w:tab w:val="clear" w:pos="5103"/>
          <w:tab w:val="clear" w:pos="6237"/>
          <w:tab w:val="clear" w:pos="7371"/>
        </w:tabs>
        <w:rPr>
          <w:szCs w:val="26"/>
        </w:rPr>
      </w:pPr>
      <w:r w:rsidRPr="00902A4B">
        <w:rPr>
          <w:szCs w:val="26"/>
        </w:rPr>
        <w:t xml:space="preserve">Agradecemos al personal </w:t>
      </w:r>
      <w:r>
        <w:rPr>
          <w:szCs w:val="26"/>
        </w:rPr>
        <w:t xml:space="preserve">de la ACFN </w:t>
      </w:r>
      <w:r w:rsidRPr="00902A4B">
        <w:rPr>
          <w:szCs w:val="26"/>
        </w:rPr>
        <w:t>la colaboración prestada en la realiz</w:t>
      </w:r>
      <w:r w:rsidRPr="00902A4B">
        <w:rPr>
          <w:szCs w:val="26"/>
        </w:rPr>
        <w:t>a</w:t>
      </w:r>
      <w:r w:rsidRPr="00902A4B">
        <w:rPr>
          <w:szCs w:val="26"/>
        </w:rPr>
        <w:t>ción del presente trabajo.</w:t>
      </w:r>
    </w:p>
    <w:p w:rsidR="00C20C16" w:rsidRDefault="00C20C16" w:rsidP="006C4DAC">
      <w:pPr>
        <w:pStyle w:val="texto"/>
        <w:tabs>
          <w:tab w:val="clear" w:pos="2835"/>
          <w:tab w:val="clear" w:pos="3969"/>
          <w:tab w:val="clear" w:pos="5103"/>
          <w:tab w:val="clear" w:pos="6237"/>
          <w:tab w:val="clear" w:pos="7371"/>
        </w:tabs>
        <w:rPr>
          <w:szCs w:val="26"/>
        </w:rPr>
      </w:pPr>
    </w:p>
    <w:p w:rsidR="00C20C16" w:rsidRDefault="00C20C16" w:rsidP="006C4DAC">
      <w:pPr>
        <w:pStyle w:val="texto"/>
        <w:tabs>
          <w:tab w:val="clear" w:pos="2835"/>
          <w:tab w:val="clear" w:pos="3969"/>
          <w:tab w:val="clear" w:pos="5103"/>
          <w:tab w:val="clear" w:pos="6237"/>
          <w:tab w:val="clear" w:pos="7371"/>
        </w:tabs>
        <w:rPr>
          <w:szCs w:val="26"/>
        </w:rPr>
      </w:pPr>
    </w:p>
    <w:p w:rsidR="004F2BA0" w:rsidRDefault="004F2BA0">
      <w:pPr>
        <w:spacing w:after="0"/>
        <w:ind w:firstLine="0"/>
        <w:jc w:val="left"/>
        <w:rPr>
          <w:spacing w:val="6"/>
          <w:sz w:val="26"/>
          <w:szCs w:val="26"/>
        </w:rPr>
      </w:pPr>
      <w:r>
        <w:rPr>
          <w:szCs w:val="26"/>
        </w:rPr>
        <w:br w:type="page"/>
      </w:r>
    </w:p>
    <w:p w:rsidR="006C4DAC" w:rsidRPr="001B054E" w:rsidRDefault="006C4DAC" w:rsidP="006C4DAC">
      <w:pPr>
        <w:pStyle w:val="atitulo1"/>
        <w:rPr>
          <w:lang w:val="es-ES"/>
        </w:rPr>
      </w:pPr>
      <w:bookmarkStart w:id="10" w:name="_Toc121292759"/>
      <w:bookmarkStart w:id="11" w:name="_Toc121293082"/>
      <w:bookmarkStart w:id="12" w:name="_Toc291067875"/>
      <w:bookmarkStart w:id="13" w:name="_Toc432757079"/>
      <w:bookmarkStart w:id="14" w:name="_Toc447195011"/>
      <w:bookmarkStart w:id="15" w:name="_Toc499802363"/>
      <w:bookmarkStart w:id="16" w:name="_Toc511907526"/>
      <w:bookmarkStart w:id="17" w:name="_Toc67394575"/>
      <w:bookmarkStart w:id="18" w:name="_Toc75089952"/>
      <w:r w:rsidRPr="00341874">
        <w:lastRenderedPageBreak/>
        <w:t xml:space="preserve">II. </w:t>
      </w:r>
      <w:bookmarkEnd w:id="10"/>
      <w:bookmarkEnd w:id="11"/>
      <w:bookmarkEnd w:id="12"/>
      <w:bookmarkEnd w:id="13"/>
      <w:bookmarkEnd w:id="14"/>
      <w:bookmarkEnd w:id="15"/>
      <w:bookmarkEnd w:id="16"/>
      <w:bookmarkEnd w:id="17"/>
      <w:r w:rsidR="001B054E">
        <w:t>Compensación</w:t>
      </w:r>
      <w:r w:rsidR="00C12784">
        <w:t xml:space="preserve"> </w:t>
      </w:r>
      <w:r w:rsidR="001B054E">
        <w:t xml:space="preserve">de la Administración de la Comunidad Foral de Navarra </w:t>
      </w:r>
      <w:r w:rsidR="00D436A3">
        <w:t xml:space="preserve">por descuentos derivados de la política comercial </w:t>
      </w:r>
      <w:r w:rsidR="001B054E">
        <w:t>a</w:t>
      </w:r>
      <w:r w:rsidR="00C12784">
        <w:t xml:space="preserve"> </w:t>
      </w:r>
      <w:proofErr w:type="spellStart"/>
      <w:r w:rsidR="00C12784">
        <w:t>A</w:t>
      </w:r>
      <w:r w:rsidR="001B054E">
        <w:t>udenasa</w:t>
      </w:r>
      <w:bookmarkEnd w:id="18"/>
      <w:proofErr w:type="spellEnd"/>
      <w:r w:rsidR="00C12784">
        <w:t xml:space="preserve"> </w:t>
      </w:r>
    </w:p>
    <w:p w:rsidR="006C4DAC" w:rsidRPr="003A16AF" w:rsidRDefault="003A16AF" w:rsidP="003A16AF">
      <w:pPr>
        <w:pStyle w:val="texto"/>
        <w:ind w:firstLine="0"/>
        <w:rPr>
          <w:rFonts w:ascii="Arial" w:hAnsi="Arial"/>
          <w:i/>
          <w:iCs/>
          <w:color w:val="000000"/>
          <w:spacing w:val="10"/>
          <w:kern w:val="28"/>
          <w:sz w:val="25"/>
          <w:szCs w:val="26"/>
        </w:rPr>
      </w:pPr>
      <w:r w:rsidRPr="003A16AF">
        <w:rPr>
          <w:rFonts w:ascii="Arial" w:hAnsi="Arial"/>
          <w:i/>
          <w:iCs/>
          <w:color w:val="000000"/>
          <w:spacing w:val="10"/>
          <w:kern w:val="28"/>
          <w:sz w:val="25"/>
          <w:szCs w:val="26"/>
        </w:rPr>
        <w:t xml:space="preserve">Aspectos generales de la compensación por descuentos a </w:t>
      </w:r>
      <w:proofErr w:type="spellStart"/>
      <w:r w:rsidRPr="003A16AF">
        <w:rPr>
          <w:rFonts w:ascii="Arial" w:hAnsi="Arial"/>
          <w:i/>
          <w:iCs/>
          <w:color w:val="000000"/>
          <w:spacing w:val="10"/>
          <w:kern w:val="28"/>
          <w:sz w:val="25"/>
          <w:szCs w:val="26"/>
        </w:rPr>
        <w:t>Audenasa</w:t>
      </w:r>
      <w:proofErr w:type="spellEnd"/>
      <w:r w:rsidR="001B054E" w:rsidRPr="003A16AF">
        <w:rPr>
          <w:rFonts w:ascii="Arial" w:hAnsi="Arial"/>
          <w:i/>
          <w:iCs/>
          <w:color w:val="000000"/>
          <w:spacing w:val="10"/>
          <w:kern w:val="28"/>
          <w:sz w:val="25"/>
          <w:szCs w:val="26"/>
        </w:rPr>
        <w:t xml:space="preserve"> </w:t>
      </w:r>
    </w:p>
    <w:p w:rsidR="00434D41" w:rsidRDefault="00434D41" w:rsidP="00A35291">
      <w:pPr>
        <w:pStyle w:val="texto"/>
        <w:rPr>
          <w:szCs w:val="26"/>
        </w:rPr>
      </w:pPr>
      <w:r>
        <w:rPr>
          <w:szCs w:val="26"/>
        </w:rPr>
        <w:t xml:space="preserve">En junio de 2013 la Cámara de Comptos emitió un informe sobre la política comercial de </w:t>
      </w:r>
      <w:proofErr w:type="spellStart"/>
      <w:r>
        <w:rPr>
          <w:szCs w:val="26"/>
        </w:rPr>
        <w:t>Audenasa</w:t>
      </w:r>
      <w:proofErr w:type="spellEnd"/>
      <w:r>
        <w:rPr>
          <w:szCs w:val="26"/>
        </w:rPr>
        <w:t xml:space="preserve"> en el periodo 2003-2012</w:t>
      </w:r>
      <w:r w:rsidR="006C4DAC" w:rsidRPr="008C3B05">
        <w:rPr>
          <w:szCs w:val="26"/>
        </w:rPr>
        <w:t>.</w:t>
      </w:r>
      <w:r>
        <w:rPr>
          <w:szCs w:val="26"/>
        </w:rPr>
        <w:t xml:space="preserve"> En dicho informe se analiz</w:t>
      </w:r>
      <w:r>
        <w:rPr>
          <w:szCs w:val="26"/>
        </w:rPr>
        <w:t>a</w:t>
      </w:r>
      <w:r>
        <w:rPr>
          <w:szCs w:val="26"/>
        </w:rPr>
        <w:t>ron las características generales de la autopista de peaje “</w:t>
      </w:r>
      <w:proofErr w:type="spellStart"/>
      <w:r>
        <w:rPr>
          <w:szCs w:val="26"/>
        </w:rPr>
        <w:t>Irurtzun</w:t>
      </w:r>
      <w:proofErr w:type="spellEnd"/>
      <w:r>
        <w:rPr>
          <w:szCs w:val="26"/>
        </w:rPr>
        <w:t>-enlace aut</w:t>
      </w:r>
      <w:r>
        <w:rPr>
          <w:szCs w:val="26"/>
        </w:rPr>
        <w:t>o</w:t>
      </w:r>
      <w:r>
        <w:rPr>
          <w:szCs w:val="26"/>
        </w:rPr>
        <w:t>pista del Ebro” (AP-15)</w:t>
      </w:r>
      <w:r w:rsidR="00A35291">
        <w:rPr>
          <w:szCs w:val="26"/>
        </w:rPr>
        <w:t xml:space="preserve"> </w:t>
      </w:r>
      <w:r>
        <w:rPr>
          <w:szCs w:val="26"/>
        </w:rPr>
        <w:t xml:space="preserve">de las cuales señalamos las </w:t>
      </w:r>
      <w:r w:rsidR="00A35291">
        <w:rPr>
          <w:szCs w:val="26"/>
        </w:rPr>
        <w:t>más relevantes junto a otras que han sucedido a posteriori</w:t>
      </w:r>
      <w:r>
        <w:rPr>
          <w:szCs w:val="26"/>
        </w:rPr>
        <w:t>:</w:t>
      </w:r>
    </w:p>
    <w:p w:rsidR="00434D41" w:rsidRDefault="002F5AF1" w:rsidP="00434D41">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La autopista s</w:t>
      </w:r>
      <w:r w:rsidR="00434D41">
        <w:rPr>
          <w:szCs w:val="26"/>
        </w:rPr>
        <w:t>e construyó por concesión de la Diputac</w:t>
      </w:r>
      <w:r>
        <w:rPr>
          <w:szCs w:val="26"/>
        </w:rPr>
        <w:t xml:space="preserve">ión Foral de Navarra a </w:t>
      </w:r>
      <w:proofErr w:type="spellStart"/>
      <w:r>
        <w:rPr>
          <w:szCs w:val="26"/>
        </w:rPr>
        <w:t>Audenasa</w:t>
      </w:r>
      <w:proofErr w:type="spellEnd"/>
      <w:r>
        <w:rPr>
          <w:szCs w:val="26"/>
        </w:rPr>
        <w:t xml:space="preserve">, </w:t>
      </w:r>
      <w:r w:rsidR="00434D41">
        <w:rPr>
          <w:szCs w:val="26"/>
        </w:rPr>
        <w:t>sociedad constituida con capital privado en 1973.</w:t>
      </w:r>
      <w:r w:rsidR="005629C8">
        <w:rPr>
          <w:szCs w:val="26"/>
        </w:rPr>
        <w:t xml:space="preserve"> La concesión implica que las obras y mantenimiento se realizan por parte de la concesionaria cuya retribución consiste, en este caso, en el cobro de las tarifas a los usuarios de la autopista, transfiriendo a la concesionaria el riesgo operacional.</w:t>
      </w:r>
    </w:p>
    <w:p w:rsidR="00434D41" w:rsidRDefault="00434D41" w:rsidP="00434D41">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 xml:space="preserve">En 1984, el capital social de </w:t>
      </w:r>
      <w:proofErr w:type="spellStart"/>
      <w:r>
        <w:rPr>
          <w:szCs w:val="26"/>
        </w:rPr>
        <w:t>Audenasa</w:t>
      </w:r>
      <w:proofErr w:type="spellEnd"/>
      <w:r>
        <w:rPr>
          <w:szCs w:val="26"/>
        </w:rPr>
        <w:t xml:space="preserve"> pasa a pertenecer en un 50 por ciento a la ACFN</w:t>
      </w:r>
      <w:r w:rsidR="00D436A3">
        <w:rPr>
          <w:szCs w:val="26"/>
        </w:rPr>
        <w:t>,</w:t>
      </w:r>
      <w:r>
        <w:rPr>
          <w:szCs w:val="26"/>
        </w:rPr>
        <w:t xml:space="preserve"> y en 2010</w:t>
      </w:r>
      <w:r w:rsidR="00D436A3">
        <w:rPr>
          <w:szCs w:val="26"/>
        </w:rPr>
        <w:t>,</w:t>
      </w:r>
      <w:r>
        <w:rPr>
          <w:szCs w:val="26"/>
        </w:rPr>
        <w:t xml:space="preserve"> se acuerda su incorporación a la Corporación P</w:t>
      </w:r>
      <w:r>
        <w:rPr>
          <w:szCs w:val="26"/>
        </w:rPr>
        <w:t>ú</w:t>
      </w:r>
      <w:r>
        <w:rPr>
          <w:szCs w:val="26"/>
        </w:rPr>
        <w:t>blica Empresarial de Navarra (CPEN)</w:t>
      </w:r>
      <w:r w:rsidRPr="00680392">
        <w:rPr>
          <w:szCs w:val="26"/>
        </w:rPr>
        <w:t>.</w:t>
      </w:r>
    </w:p>
    <w:p w:rsidR="00434D41" w:rsidRDefault="00434D41" w:rsidP="00434D41">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 xml:space="preserve">La conservación y explotación de la AP-15 se concede a </w:t>
      </w:r>
      <w:proofErr w:type="spellStart"/>
      <w:r>
        <w:rPr>
          <w:szCs w:val="26"/>
        </w:rPr>
        <w:t>Audenasa</w:t>
      </w:r>
      <w:proofErr w:type="spellEnd"/>
      <w:r>
        <w:rPr>
          <w:szCs w:val="26"/>
        </w:rPr>
        <w:t xml:space="preserve"> hasta 2014</w:t>
      </w:r>
      <w:r w:rsidR="003A16AF">
        <w:rPr>
          <w:szCs w:val="26"/>
        </w:rPr>
        <w:t xml:space="preserve">; </w:t>
      </w:r>
      <w:r>
        <w:rPr>
          <w:szCs w:val="26"/>
        </w:rPr>
        <w:t>en 1997</w:t>
      </w:r>
      <w:r w:rsidR="003A16AF">
        <w:rPr>
          <w:szCs w:val="26"/>
        </w:rPr>
        <w:t>,</w:t>
      </w:r>
      <w:r>
        <w:rPr>
          <w:szCs w:val="26"/>
        </w:rPr>
        <w:t xml:space="preserve"> este plazo se amplía hasta 2029.</w:t>
      </w:r>
    </w:p>
    <w:p w:rsidR="00434D41" w:rsidRDefault="00434D41" w:rsidP="00434D41">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 xml:space="preserve">El pliego que regula la concesión de la AP-15 </w:t>
      </w:r>
      <w:r w:rsidR="00000CD6">
        <w:rPr>
          <w:szCs w:val="26"/>
        </w:rPr>
        <w:t>recoge, conforme a lo pr</w:t>
      </w:r>
      <w:r w:rsidR="00000CD6">
        <w:rPr>
          <w:szCs w:val="26"/>
        </w:rPr>
        <w:t>e</w:t>
      </w:r>
      <w:r w:rsidR="00000CD6">
        <w:rPr>
          <w:szCs w:val="26"/>
        </w:rPr>
        <w:t>visto en la Ley 8/1972 de 10 de mayo de construcción, conservación y explot</w:t>
      </w:r>
      <w:r w:rsidR="00000CD6">
        <w:rPr>
          <w:szCs w:val="26"/>
        </w:rPr>
        <w:t>a</w:t>
      </w:r>
      <w:r w:rsidR="00000CD6">
        <w:rPr>
          <w:szCs w:val="26"/>
        </w:rPr>
        <w:t>ción de autopistas en régimen de concesión,</w:t>
      </w:r>
      <w:r>
        <w:rPr>
          <w:szCs w:val="26"/>
        </w:rPr>
        <w:t xml:space="preserve"> la figura </w:t>
      </w:r>
      <w:r w:rsidR="00000CD6">
        <w:rPr>
          <w:szCs w:val="26"/>
        </w:rPr>
        <w:t>de la “delegación del G</w:t>
      </w:r>
      <w:r w:rsidR="00000CD6">
        <w:rPr>
          <w:szCs w:val="26"/>
        </w:rPr>
        <w:t>o</w:t>
      </w:r>
      <w:r w:rsidR="00000CD6">
        <w:rPr>
          <w:szCs w:val="26"/>
        </w:rPr>
        <w:t>bierno”</w:t>
      </w:r>
      <w:r w:rsidR="005629C8">
        <w:rPr>
          <w:szCs w:val="26"/>
        </w:rPr>
        <w:t xml:space="preserve"> como órgano ante la sociedad concesionaria, </w:t>
      </w:r>
      <w:r>
        <w:rPr>
          <w:szCs w:val="26"/>
        </w:rPr>
        <w:t>y sus funciones entre las cuales está la de analizar, revisar y controlar los cálculos que determinan la aportación de la ACFN al concesionario para compensar los descuentos pract</w:t>
      </w:r>
      <w:r>
        <w:rPr>
          <w:szCs w:val="26"/>
        </w:rPr>
        <w:t>i</w:t>
      </w:r>
      <w:r>
        <w:rPr>
          <w:szCs w:val="26"/>
        </w:rPr>
        <w:t xml:space="preserve">cados a los usuarios de la autopista. </w:t>
      </w:r>
    </w:p>
    <w:p w:rsidR="00434D41" w:rsidRDefault="00434D41" w:rsidP="00434D41">
      <w:pPr>
        <w:pStyle w:val="texto"/>
        <w:tabs>
          <w:tab w:val="clear" w:pos="2835"/>
          <w:tab w:val="clear" w:pos="3969"/>
          <w:tab w:val="clear" w:pos="5103"/>
          <w:tab w:val="clear" w:pos="6237"/>
          <w:tab w:val="clear" w:pos="7371"/>
          <w:tab w:val="left" w:pos="567"/>
        </w:tabs>
        <w:ind w:firstLine="426"/>
        <w:rPr>
          <w:szCs w:val="26"/>
        </w:rPr>
      </w:pPr>
      <w:r>
        <w:rPr>
          <w:szCs w:val="26"/>
        </w:rPr>
        <w:t>El informe de la Cámara también analizaba la política comercial de de</w:t>
      </w:r>
      <w:r>
        <w:rPr>
          <w:szCs w:val="26"/>
        </w:rPr>
        <w:t>s</w:t>
      </w:r>
      <w:r>
        <w:rPr>
          <w:szCs w:val="26"/>
        </w:rPr>
        <w:t>cuentos aplicados en la autopista y la compensación a pagar por la ACFN</w:t>
      </w:r>
      <w:r w:rsidR="003A16AF">
        <w:rPr>
          <w:szCs w:val="26"/>
        </w:rPr>
        <w:t>; de este análisis</w:t>
      </w:r>
      <w:r>
        <w:rPr>
          <w:szCs w:val="26"/>
        </w:rPr>
        <w:t xml:space="preserve"> destacamos los siguientes puntos:</w:t>
      </w:r>
    </w:p>
    <w:p w:rsidR="002A0C45" w:rsidRDefault="00000991" w:rsidP="00000CD6">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Los objetivos primordiales</w:t>
      </w:r>
      <w:r w:rsidR="00434D41">
        <w:rPr>
          <w:szCs w:val="26"/>
        </w:rPr>
        <w:t xml:space="preserve"> de la política de descuentos acordada </w:t>
      </w:r>
      <w:r>
        <w:rPr>
          <w:szCs w:val="26"/>
        </w:rPr>
        <w:t>fueron</w:t>
      </w:r>
      <w:r w:rsidR="00000CD6" w:rsidRPr="00000CD6">
        <w:rPr>
          <w:szCs w:val="26"/>
        </w:rPr>
        <w:t xml:space="preserve"> </w:t>
      </w:r>
      <w:r w:rsidR="00000CD6">
        <w:rPr>
          <w:szCs w:val="26"/>
        </w:rPr>
        <w:t>propiciar el abaratamiento del coste para los usuarios habituales de la autopista, descongestionar determinadas carreteras y potenciar la captación de vehículos</w:t>
      </w:r>
      <w:r w:rsidR="00E16110">
        <w:rPr>
          <w:szCs w:val="26"/>
        </w:rPr>
        <w:t>, en especial los pesados,</w:t>
      </w:r>
      <w:r w:rsidR="00000CD6">
        <w:rPr>
          <w:szCs w:val="26"/>
        </w:rPr>
        <w:t xml:space="preserve"> por la autopista.</w:t>
      </w:r>
    </w:p>
    <w:p w:rsidR="002A0C45" w:rsidRDefault="002A0C45">
      <w:pPr>
        <w:spacing w:after="0"/>
        <w:ind w:firstLine="0"/>
        <w:jc w:val="left"/>
        <w:rPr>
          <w:spacing w:val="6"/>
          <w:sz w:val="26"/>
          <w:szCs w:val="26"/>
        </w:rPr>
      </w:pPr>
      <w:r>
        <w:rPr>
          <w:szCs w:val="26"/>
        </w:rPr>
        <w:br w:type="page"/>
      </w:r>
    </w:p>
    <w:p w:rsidR="00434D41" w:rsidRDefault="00434D41" w:rsidP="004C7591">
      <w:pPr>
        <w:pStyle w:val="texto"/>
        <w:numPr>
          <w:ilvl w:val="0"/>
          <w:numId w:val="10"/>
        </w:numPr>
        <w:tabs>
          <w:tab w:val="clear" w:pos="2835"/>
          <w:tab w:val="clear" w:pos="3969"/>
          <w:tab w:val="clear" w:pos="5103"/>
          <w:tab w:val="clear" w:pos="6237"/>
          <w:tab w:val="clear" w:pos="7371"/>
          <w:tab w:val="left" w:pos="567"/>
        </w:tabs>
        <w:spacing w:after="120"/>
        <w:ind w:left="0" w:firstLine="284"/>
        <w:rPr>
          <w:szCs w:val="26"/>
        </w:rPr>
      </w:pPr>
      <w:r>
        <w:rPr>
          <w:szCs w:val="26"/>
        </w:rPr>
        <w:lastRenderedPageBreak/>
        <w:t xml:space="preserve">En el convenio de mayo de 1999 se establece que la ACFN compensará a </w:t>
      </w:r>
      <w:proofErr w:type="spellStart"/>
      <w:r>
        <w:rPr>
          <w:szCs w:val="26"/>
        </w:rPr>
        <w:t>Audenasa</w:t>
      </w:r>
      <w:proofErr w:type="spellEnd"/>
      <w:r>
        <w:rPr>
          <w:szCs w:val="26"/>
        </w:rPr>
        <w:t xml:space="preserve"> mediante el abono a la misma, con carácter anual, de una cantidad igual a la diferencia existente entre la recaudación teórica esperada para cada año y la recaudación real de acuerdo a </w:t>
      </w:r>
      <w:r w:rsidR="00022658">
        <w:rPr>
          <w:szCs w:val="26"/>
        </w:rPr>
        <w:t>una</w:t>
      </w:r>
      <w:r>
        <w:rPr>
          <w:szCs w:val="26"/>
        </w:rPr>
        <w:t xml:space="preserve"> fórm</w:t>
      </w:r>
      <w:r w:rsidR="00022658">
        <w:rPr>
          <w:szCs w:val="26"/>
        </w:rPr>
        <w:t>ula que posteriormente es m</w:t>
      </w:r>
      <w:r w:rsidR="00022658">
        <w:rPr>
          <w:szCs w:val="26"/>
        </w:rPr>
        <w:t>o</w:t>
      </w:r>
      <w:r w:rsidR="00022658">
        <w:rPr>
          <w:szCs w:val="26"/>
        </w:rPr>
        <w:t xml:space="preserve">dificada por el acuerdo entre las partes </w:t>
      </w:r>
      <w:r w:rsidR="004C7591">
        <w:rPr>
          <w:szCs w:val="26"/>
        </w:rPr>
        <w:t>en</w:t>
      </w:r>
      <w:r w:rsidR="00022658">
        <w:rPr>
          <w:szCs w:val="26"/>
        </w:rPr>
        <w:t xml:space="preserve"> 2007</w:t>
      </w:r>
      <w:r w:rsidR="004C7591">
        <w:rPr>
          <w:szCs w:val="26"/>
        </w:rPr>
        <w:t xml:space="preserve">; </w:t>
      </w:r>
      <w:r w:rsidR="00E16110">
        <w:rPr>
          <w:szCs w:val="26"/>
        </w:rPr>
        <w:t>la fórmula acordada vigente actualmente que se aplicad desde 2009 es la siguiente</w:t>
      </w:r>
      <w:r w:rsidR="00022658">
        <w:rPr>
          <w:szCs w:val="26"/>
        </w:rPr>
        <w:t>:</w:t>
      </w:r>
    </w:p>
    <w:p w:rsidR="003A16AF" w:rsidRDefault="003A16AF" w:rsidP="003A16AF">
      <w:pPr>
        <w:pStyle w:val="texto"/>
        <w:tabs>
          <w:tab w:val="clear" w:pos="2835"/>
          <w:tab w:val="clear" w:pos="3969"/>
          <w:tab w:val="clear" w:pos="5103"/>
          <w:tab w:val="clear" w:pos="6237"/>
          <w:tab w:val="clear" w:pos="7371"/>
          <w:tab w:val="left" w:pos="567"/>
        </w:tabs>
        <w:ind w:left="284" w:firstLine="0"/>
        <w:jc w:val="left"/>
        <w:rPr>
          <w:szCs w:val="26"/>
        </w:rPr>
      </w:pPr>
      <w:r>
        <w:rPr>
          <w:noProof/>
          <w:lang w:val="es-ES" w:eastAsia="es-ES"/>
        </w:rPr>
        <w:drawing>
          <wp:inline distT="0" distB="0" distL="0" distR="0" wp14:anchorId="7EA5CEDF" wp14:editId="68807F17">
            <wp:extent cx="4086225" cy="4381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3824" t="19048" r="12954" b="24207"/>
                    <a:stretch/>
                  </pic:blipFill>
                  <pic:spPr bwMode="auto">
                    <a:xfrm>
                      <a:off x="0" y="0"/>
                      <a:ext cx="4086225" cy="438150"/>
                    </a:xfrm>
                    <a:prstGeom prst="rect">
                      <a:avLst/>
                    </a:prstGeom>
                    <a:ln>
                      <a:noFill/>
                    </a:ln>
                    <a:extLst>
                      <a:ext uri="{53640926-AAD7-44D8-BBD7-CCE9431645EC}">
                        <a14:shadowObscured xmlns:a14="http://schemas.microsoft.com/office/drawing/2010/main"/>
                      </a:ext>
                    </a:extLst>
                  </pic:spPr>
                </pic:pic>
              </a:graphicData>
            </a:graphic>
          </wp:inline>
        </w:drawing>
      </w:r>
      <w:r>
        <w:rPr>
          <w:noProof/>
          <w:lang w:val="es-ES" w:eastAsia="es-ES"/>
        </w:rPr>
        <w:drawing>
          <wp:inline distT="0" distB="0" distL="0" distR="0" wp14:anchorId="53F5D8CD" wp14:editId="04A7814B">
            <wp:extent cx="5548630" cy="16859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3174"/>
                    <a:stretch/>
                  </pic:blipFill>
                  <pic:spPr bwMode="auto">
                    <a:xfrm>
                      <a:off x="0" y="0"/>
                      <a:ext cx="5638100" cy="1713110"/>
                    </a:xfrm>
                    <a:prstGeom prst="rect">
                      <a:avLst/>
                    </a:prstGeom>
                    <a:ln>
                      <a:noFill/>
                    </a:ln>
                    <a:extLst>
                      <a:ext uri="{53640926-AAD7-44D8-BBD7-CCE9431645EC}">
                        <a14:shadowObscured xmlns:a14="http://schemas.microsoft.com/office/drawing/2010/main"/>
                      </a:ext>
                    </a:extLst>
                  </pic:spPr>
                </pic:pic>
              </a:graphicData>
            </a:graphic>
          </wp:inline>
        </w:drawing>
      </w:r>
    </w:p>
    <w:p w:rsidR="004E1D46" w:rsidRPr="004E1D46" w:rsidRDefault="00834780" w:rsidP="004E1D46">
      <w:pPr>
        <w:pStyle w:val="texto"/>
        <w:numPr>
          <w:ilvl w:val="0"/>
          <w:numId w:val="10"/>
        </w:numPr>
        <w:tabs>
          <w:tab w:val="clear" w:pos="2835"/>
          <w:tab w:val="clear" w:pos="3969"/>
          <w:tab w:val="clear" w:pos="5103"/>
          <w:tab w:val="clear" w:pos="6237"/>
          <w:tab w:val="clear" w:pos="7371"/>
          <w:tab w:val="left" w:pos="567"/>
        </w:tabs>
        <w:spacing w:after="120"/>
        <w:ind w:left="0" w:firstLine="284"/>
        <w:rPr>
          <w:szCs w:val="26"/>
        </w:rPr>
      </w:pPr>
      <w:r w:rsidRPr="004E1D46">
        <w:rPr>
          <w:szCs w:val="26"/>
        </w:rPr>
        <w:t xml:space="preserve">En el acuerdo entre las partes de </w:t>
      </w:r>
      <w:r w:rsidR="004E1D46">
        <w:rPr>
          <w:szCs w:val="26"/>
        </w:rPr>
        <w:t xml:space="preserve">mayo de 2007 para modificar el contrato de concesión, se estableció, entre otros aspectos, que </w:t>
      </w:r>
      <w:r w:rsidR="004E1D46" w:rsidRPr="004E1D46">
        <w:rPr>
          <w:szCs w:val="26"/>
        </w:rPr>
        <w:t>el periodo de liquidación</w:t>
      </w:r>
      <w:r w:rsidR="004E1D46">
        <w:rPr>
          <w:szCs w:val="26"/>
        </w:rPr>
        <w:t xml:space="preserve"> de la compensación sería</w:t>
      </w:r>
      <w:r w:rsidR="004E1D46" w:rsidRPr="004E1D46">
        <w:rPr>
          <w:szCs w:val="26"/>
        </w:rPr>
        <w:t xml:space="preserve"> entre el 1 de enero y el 31 de diciembre</w:t>
      </w:r>
      <w:r w:rsidR="004E1D46">
        <w:rPr>
          <w:szCs w:val="26"/>
        </w:rPr>
        <w:t xml:space="preserve"> de cada año</w:t>
      </w:r>
      <w:r w:rsidR="004E1D46" w:rsidRPr="004E1D46">
        <w:rPr>
          <w:szCs w:val="26"/>
        </w:rPr>
        <w:t xml:space="preserve">. </w:t>
      </w:r>
      <w:r w:rsidR="004E1D46">
        <w:rPr>
          <w:szCs w:val="26"/>
        </w:rPr>
        <w:t>Se señala además que l</w:t>
      </w:r>
      <w:r w:rsidR="004E1D46" w:rsidRPr="004E1D46">
        <w:rPr>
          <w:szCs w:val="26"/>
        </w:rPr>
        <w:t>as facturas mensuales tendrán carácter de anticipo a cue</w:t>
      </w:r>
      <w:r w:rsidR="004E1D46">
        <w:rPr>
          <w:szCs w:val="26"/>
        </w:rPr>
        <w:t>nta, y la correspondiente a d</w:t>
      </w:r>
      <w:r w:rsidR="004E1D46" w:rsidRPr="004E1D46">
        <w:rPr>
          <w:szCs w:val="26"/>
        </w:rPr>
        <w:t>iciembre</w:t>
      </w:r>
      <w:r w:rsidR="004E1D46">
        <w:rPr>
          <w:szCs w:val="26"/>
        </w:rPr>
        <w:t>,</w:t>
      </w:r>
      <w:r w:rsidR="004E1D46" w:rsidRPr="004E1D46">
        <w:rPr>
          <w:szCs w:val="26"/>
        </w:rPr>
        <w:t xml:space="preserve"> será la factura liquidación, que tendr</w:t>
      </w:r>
      <w:r w:rsidR="004E1D46">
        <w:rPr>
          <w:szCs w:val="26"/>
        </w:rPr>
        <w:t>á el carácter de anual o final,</w:t>
      </w:r>
      <w:r w:rsidR="004E1D46" w:rsidRPr="004E1D46">
        <w:rPr>
          <w:szCs w:val="26"/>
        </w:rPr>
        <w:t xml:space="preserve"> en la que se detallará el importe resultante a abonar en compensación por la política de descuentos establecida.</w:t>
      </w:r>
    </w:p>
    <w:p w:rsidR="004E1D46" w:rsidRPr="004E1D46" w:rsidRDefault="004E1D46" w:rsidP="004E1D46">
      <w:pPr>
        <w:pStyle w:val="texto"/>
        <w:tabs>
          <w:tab w:val="clear" w:pos="2835"/>
          <w:tab w:val="clear" w:pos="3969"/>
          <w:tab w:val="clear" w:pos="5103"/>
          <w:tab w:val="clear" w:pos="6237"/>
          <w:tab w:val="clear" w:pos="7371"/>
          <w:tab w:val="left" w:pos="567"/>
        </w:tabs>
        <w:rPr>
          <w:szCs w:val="26"/>
        </w:rPr>
      </w:pPr>
      <w:r>
        <w:rPr>
          <w:szCs w:val="26"/>
        </w:rPr>
        <w:t>Asimismo, se indica que</w:t>
      </w:r>
      <w:r w:rsidR="00EC1DE2">
        <w:rPr>
          <w:szCs w:val="26"/>
        </w:rPr>
        <w:t>,</w:t>
      </w:r>
      <w:r>
        <w:rPr>
          <w:szCs w:val="26"/>
        </w:rPr>
        <w:t xml:space="preserve"> e</w:t>
      </w:r>
      <w:r w:rsidRPr="004E1D46">
        <w:rPr>
          <w:szCs w:val="26"/>
        </w:rPr>
        <w:t xml:space="preserve">n los 15 primeros días siguientes a cada período, </w:t>
      </w:r>
      <w:proofErr w:type="spellStart"/>
      <w:r>
        <w:rPr>
          <w:szCs w:val="26"/>
        </w:rPr>
        <w:t>Audenasa</w:t>
      </w:r>
      <w:proofErr w:type="spellEnd"/>
      <w:r w:rsidRPr="004E1D46">
        <w:rPr>
          <w:szCs w:val="26"/>
        </w:rPr>
        <w:t xml:space="preserve"> presentará a</w:t>
      </w:r>
      <w:r>
        <w:rPr>
          <w:szCs w:val="26"/>
        </w:rPr>
        <w:t xml:space="preserve"> </w:t>
      </w:r>
      <w:r w:rsidRPr="004E1D46">
        <w:rPr>
          <w:szCs w:val="26"/>
        </w:rPr>
        <w:t>l</w:t>
      </w:r>
      <w:r>
        <w:rPr>
          <w:szCs w:val="26"/>
        </w:rPr>
        <w:t xml:space="preserve">a ACFN </w:t>
      </w:r>
      <w:r w:rsidRPr="004E1D46">
        <w:rPr>
          <w:szCs w:val="26"/>
        </w:rPr>
        <w:t>la correspondiente factura que se abonará en los plazos previstos en la normativa aplicable.</w:t>
      </w:r>
    </w:p>
    <w:p w:rsidR="00763F7D" w:rsidRPr="00763F7D" w:rsidRDefault="0000205E" w:rsidP="00646970">
      <w:pPr>
        <w:pStyle w:val="texto"/>
        <w:numPr>
          <w:ilvl w:val="0"/>
          <w:numId w:val="10"/>
        </w:numPr>
        <w:tabs>
          <w:tab w:val="clear" w:pos="2835"/>
          <w:tab w:val="clear" w:pos="3969"/>
          <w:tab w:val="clear" w:pos="5103"/>
          <w:tab w:val="clear" w:pos="6237"/>
          <w:tab w:val="clear" w:pos="7371"/>
          <w:tab w:val="left" w:pos="567"/>
        </w:tabs>
        <w:spacing w:after="120"/>
        <w:ind w:left="0" w:firstLine="284"/>
        <w:rPr>
          <w:szCs w:val="26"/>
        </w:rPr>
      </w:pPr>
      <w:r w:rsidRPr="00763F7D">
        <w:rPr>
          <w:szCs w:val="26"/>
        </w:rPr>
        <w:t>En la celebración del contrato de concesión de la autopista en 1973 se aprobó un Plan Económico Financiero (PEF en adelante) que contemplaba las principales magnitudes económicas hasta el fin de la concesión</w:t>
      </w:r>
      <w:r w:rsidR="00763F7D" w:rsidRPr="00763F7D">
        <w:rPr>
          <w:szCs w:val="26"/>
        </w:rPr>
        <w:t xml:space="preserve">, recogiendo la previsible evolución de la concesión </w:t>
      </w:r>
      <w:r w:rsidR="00763F7D">
        <w:rPr>
          <w:szCs w:val="26"/>
        </w:rPr>
        <w:t>con el fin de</w:t>
      </w:r>
      <w:r w:rsidR="00763F7D" w:rsidRPr="00763F7D">
        <w:rPr>
          <w:szCs w:val="26"/>
        </w:rPr>
        <w:t xml:space="preserve"> garantiza</w:t>
      </w:r>
      <w:r w:rsidR="00763F7D">
        <w:rPr>
          <w:szCs w:val="26"/>
        </w:rPr>
        <w:t>r</w:t>
      </w:r>
      <w:r w:rsidR="00763F7D" w:rsidRPr="00763F7D">
        <w:rPr>
          <w:szCs w:val="26"/>
        </w:rPr>
        <w:t xml:space="preserve"> de forma razon</w:t>
      </w:r>
      <w:r w:rsidR="00763F7D" w:rsidRPr="00763F7D">
        <w:rPr>
          <w:szCs w:val="26"/>
        </w:rPr>
        <w:t>a</w:t>
      </w:r>
      <w:r w:rsidR="00763F7D" w:rsidRPr="00763F7D">
        <w:rPr>
          <w:szCs w:val="26"/>
        </w:rPr>
        <w:t>ble, si bien con la incertidumbre propia de toda previsión a largo plazo, la vi</w:t>
      </w:r>
      <w:r w:rsidR="00763F7D" w:rsidRPr="00763F7D">
        <w:rPr>
          <w:szCs w:val="26"/>
        </w:rPr>
        <w:t>a</w:t>
      </w:r>
      <w:r w:rsidR="00763F7D" w:rsidRPr="00763F7D">
        <w:rPr>
          <w:szCs w:val="26"/>
        </w:rPr>
        <w:t>bilidad de la concesión y el mantenimiento del equilibrio económico-financiero</w:t>
      </w:r>
      <w:r w:rsidR="00763F7D">
        <w:rPr>
          <w:szCs w:val="26"/>
        </w:rPr>
        <w:t>.</w:t>
      </w:r>
    </w:p>
    <w:p w:rsidR="004919FC" w:rsidRDefault="0000205E" w:rsidP="00F15075">
      <w:pPr>
        <w:pStyle w:val="texto"/>
        <w:tabs>
          <w:tab w:val="clear" w:pos="2835"/>
          <w:tab w:val="clear" w:pos="3969"/>
          <w:tab w:val="clear" w:pos="5103"/>
          <w:tab w:val="clear" w:pos="6237"/>
          <w:tab w:val="clear" w:pos="7371"/>
          <w:tab w:val="left" w:pos="567"/>
        </w:tabs>
        <w:spacing w:after="120"/>
        <w:rPr>
          <w:szCs w:val="26"/>
        </w:rPr>
      </w:pPr>
      <w:r>
        <w:rPr>
          <w:szCs w:val="26"/>
        </w:rPr>
        <w:t xml:space="preserve">En las modificaciones del contrato de concesión aprobadas por Acuerdo de Gobierno en diciembre de 1997, febrero de 2000, </w:t>
      </w:r>
      <w:r w:rsidR="002F5AF1">
        <w:rPr>
          <w:szCs w:val="26"/>
        </w:rPr>
        <w:t xml:space="preserve">junio de 2007 y </w:t>
      </w:r>
      <w:r>
        <w:rPr>
          <w:szCs w:val="26"/>
        </w:rPr>
        <w:t>febrero de 2008</w:t>
      </w:r>
      <w:r w:rsidR="00073517">
        <w:rPr>
          <w:szCs w:val="26"/>
        </w:rPr>
        <w:t>,</w:t>
      </w:r>
      <w:r>
        <w:rPr>
          <w:szCs w:val="26"/>
        </w:rPr>
        <w:t xml:space="preserve"> se aprobaron nuevos PEF</w:t>
      </w:r>
      <w:r w:rsidR="00073517">
        <w:rPr>
          <w:szCs w:val="26"/>
        </w:rPr>
        <w:t xml:space="preserve"> motivados, entre otras causas p</w:t>
      </w:r>
      <w:r>
        <w:rPr>
          <w:szCs w:val="26"/>
        </w:rPr>
        <w:t xml:space="preserve">or la reducción de las tarifas, por cambios en los criterios contables, por los niveles reales de tráfico, etc. </w:t>
      </w:r>
    </w:p>
    <w:p w:rsidR="00F15075" w:rsidRDefault="0000205E" w:rsidP="00F15075">
      <w:pPr>
        <w:pStyle w:val="texto"/>
        <w:tabs>
          <w:tab w:val="clear" w:pos="2835"/>
          <w:tab w:val="clear" w:pos="3969"/>
          <w:tab w:val="clear" w:pos="5103"/>
          <w:tab w:val="clear" w:pos="6237"/>
          <w:tab w:val="clear" w:pos="7371"/>
          <w:tab w:val="left" w:pos="567"/>
        </w:tabs>
        <w:spacing w:after="120"/>
        <w:rPr>
          <w:szCs w:val="26"/>
        </w:rPr>
      </w:pPr>
      <w:r>
        <w:rPr>
          <w:szCs w:val="26"/>
        </w:rPr>
        <w:lastRenderedPageBreak/>
        <w:t xml:space="preserve">En </w:t>
      </w:r>
      <w:r w:rsidR="00F36C25">
        <w:rPr>
          <w:szCs w:val="26"/>
        </w:rPr>
        <w:t>septiembre</w:t>
      </w:r>
      <w:r>
        <w:rPr>
          <w:szCs w:val="26"/>
        </w:rPr>
        <w:t xml:space="preserve"> de 2014</w:t>
      </w:r>
      <w:r w:rsidR="00F36C25">
        <w:rPr>
          <w:szCs w:val="26"/>
        </w:rPr>
        <w:t>, el Consejo de Administración aprobó</w:t>
      </w:r>
      <w:r>
        <w:rPr>
          <w:szCs w:val="26"/>
        </w:rPr>
        <w:t xml:space="preserve"> un nuevo PEF para el periodo 2014-2029</w:t>
      </w:r>
      <w:r w:rsidR="00D436A3">
        <w:rPr>
          <w:szCs w:val="26"/>
        </w:rPr>
        <w:t>,</w:t>
      </w:r>
      <w:r>
        <w:rPr>
          <w:szCs w:val="26"/>
        </w:rPr>
        <w:t xml:space="preserve"> que es el que está vigente actualmente</w:t>
      </w:r>
      <w:r w:rsidR="00D436A3">
        <w:rPr>
          <w:szCs w:val="26"/>
        </w:rPr>
        <w:t>,</w:t>
      </w:r>
      <w:r w:rsidR="00F36C25">
        <w:rPr>
          <w:szCs w:val="26"/>
        </w:rPr>
        <w:t xml:space="preserve"> </w:t>
      </w:r>
      <w:r w:rsidR="00D436A3">
        <w:rPr>
          <w:szCs w:val="26"/>
        </w:rPr>
        <w:t xml:space="preserve">y </w:t>
      </w:r>
      <w:r w:rsidR="00F36C25">
        <w:rPr>
          <w:szCs w:val="26"/>
        </w:rPr>
        <w:t>que fue ratificado por Acuerdo de Gobierno en noviembre de ese mismo año</w:t>
      </w:r>
      <w:r>
        <w:rPr>
          <w:szCs w:val="26"/>
        </w:rPr>
        <w:t>.</w:t>
      </w:r>
      <w:r w:rsidR="00F15075">
        <w:rPr>
          <w:szCs w:val="26"/>
        </w:rPr>
        <w:t xml:space="preserve"> </w:t>
      </w:r>
    </w:p>
    <w:p w:rsidR="00F36C25" w:rsidRDefault="00F36C25" w:rsidP="00F36C25">
      <w:pPr>
        <w:pStyle w:val="texto"/>
        <w:tabs>
          <w:tab w:val="clear" w:pos="2835"/>
          <w:tab w:val="clear" w:pos="3969"/>
          <w:tab w:val="clear" w:pos="5103"/>
          <w:tab w:val="clear" w:pos="6237"/>
          <w:tab w:val="clear" w:pos="7371"/>
          <w:tab w:val="left" w:pos="567"/>
        </w:tabs>
        <w:spacing w:after="120"/>
        <w:rPr>
          <w:szCs w:val="26"/>
        </w:rPr>
      </w:pPr>
      <w:r w:rsidRPr="00F36C25">
        <w:rPr>
          <w:szCs w:val="26"/>
        </w:rPr>
        <w:t xml:space="preserve">El punto </w:t>
      </w:r>
      <w:r>
        <w:rPr>
          <w:szCs w:val="26"/>
        </w:rPr>
        <w:t>segundo de dicho a</w:t>
      </w:r>
      <w:r w:rsidRPr="00F36C25">
        <w:rPr>
          <w:szCs w:val="26"/>
        </w:rPr>
        <w:t xml:space="preserve">cuerdo establece que </w:t>
      </w:r>
      <w:proofErr w:type="spellStart"/>
      <w:r>
        <w:rPr>
          <w:szCs w:val="26"/>
        </w:rPr>
        <w:t>Audenasa</w:t>
      </w:r>
      <w:proofErr w:type="spellEnd"/>
      <w:r w:rsidRPr="00F36C25">
        <w:rPr>
          <w:szCs w:val="26"/>
        </w:rPr>
        <w:t xml:space="preserve"> elaborará anualmente una actualización del </w:t>
      </w:r>
      <w:r>
        <w:rPr>
          <w:szCs w:val="26"/>
        </w:rPr>
        <w:t>PEF</w:t>
      </w:r>
      <w:r w:rsidRPr="00F36C25">
        <w:rPr>
          <w:szCs w:val="26"/>
        </w:rPr>
        <w:t>, atendiendo a la evolución real de las h</w:t>
      </w:r>
      <w:r w:rsidRPr="00F36C25">
        <w:rPr>
          <w:szCs w:val="26"/>
        </w:rPr>
        <w:t>i</w:t>
      </w:r>
      <w:r w:rsidRPr="00F36C25">
        <w:rPr>
          <w:szCs w:val="26"/>
        </w:rPr>
        <w:t xml:space="preserve">pótesis o variables más importantes, con detalle de las eventuales desviaciones remitiéndola a la Delegación del Gobierno de Navarra en </w:t>
      </w:r>
      <w:proofErr w:type="spellStart"/>
      <w:r>
        <w:rPr>
          <w:szCs w:val="26"/>
        </w:rPr>
        <w:t>Audenasa</w:t>
      </w:r>
      <w:proofErr w:type="spellEnd"/>
      <w:r w:rsidRPr="00F36C25">
        <w:rPr>
          <w:szCs w:val="26"/>
        </w:rPr>
        <w:t>.</w:t>
      </w:r>
    </w:p>
    <w:p w:rsidR="00763F7D" w:rsidRDefault="00763F7D" w:rsidP="00763F7D">
      <w:pPr>
        <w:pStyle w:val="texto"/>
        <w:rPr>
          <w:szCs w:val="26"/>
        </w:rPr>
      </w:pPr>
      <w:r>
        <w:rPr>
          <w:szCs w:val="26"/>
        </w:rPr>
        <w:t xml:space="preserve">En </w:t>
      </w:r>
      <w:r w:rsidRPr="003A6595">
        <w:rPr>
          <w:szCs w:val="26"/>
        </w:rPr>
        <w:t>marzo de 2020</w:t>
      </w:r>
      <w:r w:rsidR="00D436A3">
        <w:rPr>
          <w:szCs w:val="26"/>
        </w:rPr>
        <w:t>,</w:t>
      </w:r>
      <w:r>
        <w:rPr>
          <w:szCs w:val="26"/>
        </w:rPr>
        <w:t xml:space="preserve"> la Organización Mundial de la Salud calificó como pa</w:t>
      </w:r>
      <w:r>
        <w:rPr>
          <w:szCs w:val="26"/>
        </w:rPr>
        <w:t>n</w:t>
      </w:r>
      <w:r>
        <w:rPr>
          <w:szCs w:val="26"/>
        </w:rPr>
        <w:t>demia internacional la situación de emergencia de salud pública ocasionada por la COVID-19 declarada en enero de ese año,</w:t>
      </w:r>
      <w:r w:rsidRPr="003A6595">
        <w:rPr>
          <w:szCs w:val="26"/>
        </w:rPr>
        <w:t xml:space="preserve"> ya que su propagación </w:t>
      </w:r>
      <w:r>
        <w:rPr>
          <w:szCs w:val="26"/>
        </w:rPr>
        <w:t>suponía</w:t>
      </w:r>
      <w:r w:rsidRPr="003A6595">
        <w:rPr>
          <w:szCs w:val="26"/>
        </w:rPr>
        <w:t xml:space="preserve"> un riesgo para la salud pública de los países y exig</w:t>
      </w:r>
      <w:r>
        <w:rPr>
          <w:szCs w:val="26"/>
        </w:rPr>
        <w:t>ía</w:t>
      </w:r>
      <w:r w:rsidRPr="003A6595">
        <w:rPr>
          <w:szCs w:val="26"/>
        </w:rPr>
        <w:t xml:space="preserve"> u</w:t>
      </w:r>
      <w:r>
        <w:rPr>
          <w:szCs w:val="26"/>
        </w:rPr>
        <w:t>na respuesta internacional coor</w:t>
      </w:r>
      <w:r w:rsidRPr="003A6595">
        <w:rPr>
          <w:szCs w:val="26"/>
        </w:rPr>
        <w:t>dinada</w:t>
      </w:r>
      <w:r>
        <w:rPr>
          <w:szCs w:val="26"/>
        </w:rPr>
        <w:t>.</w:t>
      </w:r>
    </w:p>
    <w:p w:rsidR="00763F7D" w:rsidRDefault="00763F7D" w:rsidP="00763F7D">
      <w:pPr>
        <w:pStyle w:val="texto"/>
        <w:tabs>
          <w:tab w:val="clear" w:pos="2835"/>
          <w:tab w:val="clear" w:pos="3969"/>
          <w:tab w:val="clear" w:pos="5103"/>
          <w:tab w:val="clear" w:pos="6237"/>
          <w:tab w:val="clear" w:pos="7371"/>
          <w:tab w:val="left" w:pos="567"/>
        </w:tabs>
        <w:spacing w:after="120"/>
        <w:rPr>
          <w:szCs w:val="26"/>
        </w:rPr>
      </w:pPr>
      <w:r>
        <w:rPr>
          <w:szCs w:val="26"/>
        </w:rPr>
        <w:t xml:space="preserve">Esta declaración </w:t>
      </w:r>
      <w:r w:rsidR="00073517">
        <w:rPr>
          <w:szCs w:val="26"/>
        </w:rPr>
        <w:t>supuso la declaración del estado de alarma siendo decret</w:t>
      </w:r>
      <w:r w:rsidR="00073517">
        <w:rPr>
          <w:szCs w:val="26"/>
        </w:rPr>
        <w:t>a</w:t>
      </w:r>
      <w:r w:rsidR="00073517">
        <w:rPr>
          <w:szCs w:val="26"/>
        </w:rPr>
        <w:t xml:space="preserve">das por los poderes públicos </w:t>
      </w:r>
      <w:r>
        <w:rPr>
          <w:szCs w:val="26"/>
        </w:rPr>
        <w:t xml:space="preserve">medidas que </w:t>
      </w:r>
      <w:r w:rsidR="00073517">
        <w:rPr>
          <w:szCs w:val="26"/>
        </w:rPr>
        <w:t>implicaron importantes efectos en la</w:t>
      </w:r>
      <w:r>
        <w:rPr>
          <w:szCs w:val="26"/>
        </w:rPr>
        <w:t xml:space="preserve"> movilidad de las personas. Ello motivó que el tráfico de la autopista disminuy</w:t>
      </w:r>
      <w:r>
        <w:rPr>
          <w:szCs w:val="26"/>
        </w:rPr>
        <w:t>e</w:t>
      </w:r>
      <w:r>
        <w:rPr>
          <w:szCs w:val="26"/>
        </w:rPr>
        <w:t xml:space="preserve">ra en 2020 un 22,11 por ciento respecto a 2019. </w:t>
      </w:r>
    </w:p>
    <w:p w:rsidR="00F11723" w:rsidRDefault="00F15075" w:rsidP="00763F7D">
      <w:pPr>
        <w:pStyle w:val="texto"/>
        <w:tabs>
          <w:tab w:val="clear" w:pos="2835"/>
          <w:tab w:val="clear" w:pos="3969"/>
          <w:tab w:val="clear" w:pos="5103"/>
          <w:tab w:val="clear" w:pos="6237"/>
          <w:tab w:val="clear" w:pos="7371"/>
          <w:tab w:val="left" w:pos="567"/>
        </w:tabs>
        <w:spacing w:after="120"/>
        <w:rPr>
          <w:szCs w:val="26"/>
        </w:rPr>
      </w:pPr>
      <w:r>
        <w:rPr>
          <w:szCs w:val="26"/>
        </w:rPr>
        <w:t>La última actualización</w:t>
      </w:r>
      <w:r w:rsidR="00763F7D">
        <w:rPr>
          <w:szCs w:val="26"/>
        </w:rPr>
        <w:t xml:space="preserve"> del PEF</w:t>
      </w:r>
      <w:r>
        <w:rPr>
          <w:szCs w:val="26"/>
        </w:rPr>
        <w:t xml:space="preserve"> fue aprobada </w:t>
      </w:r>
      <w:r w:rsidR="008A1FCD">
        <w:rPr>
          <w:szCs w:val="26"/>
        </w:rPr>
        <w:t>el 31 de mayo de 2021</w:t>
      </w:r>
      <w:r w:rsidR="005629C8">
        <w:rPr>
          <w:szCs w:val="26"/>
        </w:rPr>
        <w:t xml:space="preserve"> </w:t>
      </w:r>
      <w:r>
        <w:rPr>
          <w:szCs w:val="26"/>
        </w:rPr>
        <w:t>en el Consejo de Administración</w:t>
      </w:r>
      <w:r w:rsidR="002F0EDE">
        <w:rPr>
          <w:szCs w:val="26"/>
        </w:rPr>
        <w:t xml:space="preserve"> de </w:t>
      </w:r>
      <w:proofErr w:type="spellStart"/>
      <w:r w:rsidR="002F0EDE">
        <w:rPr>
          <w:szCs w:val="26"/>
        </w:rPr>
        <w:t>Audenasa</w:t>
      </w:r>
      <w:proofErr w:type="spellEnd"/>
      <w:r w:rsidR="005629C8">
        <w:rPr>
          <w:szCs w:val="26"/>
        </w:rPr>
        <w:t>; incluye</w:t>
      </w:r>
      <w:r>
        <w:rPr>
          <w:szCs w:val="26"/>
        </w:rPr>
        <w:t xml:space="preserve"> los datos de 2020 y las prev</w:t>
      </w:r>
      <w:r>
        <w:rPr>
          <w:szCs w:val="26"/>
        </w:rPr>
        <w:t>i</w:t>
      </w:r>
      <w:r>
        <w:rPr>
          <w:szCs w:val="26"/>
        </w:rPr>
        <w:t>siones hasta 2029</w:t>
      </w:r>
      <w:r w:rsidR="00763F7D">
        <w:rPr>
          <w:szCs w:val="26"/>
        </w:rPr>
        <w:t xml:space="preserve">, </w:t>
      </w:r>
      <w:r w:rsidR="005629C8">
        <w:rPr>
          <w:szCs w:val="26"/>
        </w:rPr>
        <w:t>teniendo</w:t>
      </w:r>
      <w:r w:rsidR="00763F7D">
        <w:rPr>
          <w:szCs w:val="26"/>
        </w:rPr>
        <w:t xml:space="preserve"> en cuenta que </w:t>
      </w:r>
      <w:r w:rsidR="00763F7D" w:rsidRPr="00763F7D">
        <w:rPr>
          <w:szCs w:val="26"/>
        </w:rPr>
        <w:t>el comportamiento del tráfico</w:t>
      </w:r>
      <w:r w:rsidR="00763F7D">
        <w:rPr>
          <w:szCs w:val="26"/>
        </w:rPr>
        <w:t>,</w:t>
      </w:r>
      <w:r w:rsidR="00763F7D" w:rsidRPr="00763F7D">
        <w:rPr>
          <w:szCs w:val="26"/>
        </w:rPr>
        <w:t xml:space="preserve"> y co</w:t>
      </w:r>
      <w:r w:rsidR="00763F7D" w:rsidRPr="00763F7D">
        <w:rPr>
          <w:szCs w:val="26"/>
        </w:rPr>
        <w:t>n</w:t>
      </w:r>
      <w:r w:rsidR="00763F7D" w:rsidRPr="00763F7D">
        <w:rPr>
          <w:szCs w:val="26"/>
        </w:rPr>
        <w:t>secuentemente de los ingresos</w:t>
      </w:r>
      <w:r w:rsidR="00763F7D">
        <w:rPr>
          <w:szCs w:val="26"/>
        </w:rPr>
        <w:t>,</w:t>
      </w:r>
      <w:r w:rsidR="00763F7D" w:rsidRPr="00763F7D">
        <w:rPr>
          <w:szCs w:val="26"/>
        </w:rPr>
        <w:t xml:space="preserve"> sigue siendo una incógnita al seguir </w:t>
      </w:r>
      <w:r w:rsidR="00D436A3">
        <w:rPr>
          <w:szCs w:val="26"/>
        </w:rPr>
        <w:t>inmersos</w:t>
      </w:r>
      <w:r w:rsidR="00763F7D" w:rsidRPr="00763F7D">
        <w:rPr>
          <w:szCs w:val="26"/>
        </w:rPr>
        <w:t xml:space="preserve"> e</w:t>
      </w:r>
      <w:r w:rsidR="00D436A3">
        <w:rPr>
          <w:szCs w:val="26"/>
        </w:rPr>
        <w:t>n los efectos de la pandemia de la COVID-</w:t>
      </w:r>
      <w:r w:rsidR="00763F7D" w:rsidRPr="00763F7D">
        <w:rPr>
          <w:szCs w:val="26"/>
        </w:rPr>
        <w:t xml:space="preserve">19. </w:t>
      </w:r>
    </w:p>
    <w:p w:rsidR="00F15075" w:rsidRDefault="00F15075" w:rsidP="00F11723">
      <w:pPr>
        <w:pStyle w:val="texto"/>
        <w:tabs>
          <w:tab w:val="clear" w:pos="2835"/>
          <w:tab w:val="clear" w:pos="3969"/>
          <w:tab w:val="clear" w:pos="5103"/>
          <w:tab w:val="clear" w:pos="6237"/>
          <w:tab w:val="clear" w:pos="7371"/>
          <w:tab w:val="left" w:pos="567"/>
        </w:tabs>
        <w:spacing w:after="240"/>
        <w:rPr>
          <w:szCs w:val="26"/>
        </w:rPr>
      </w:pPr>
      <w:r>
        <w:rPr>
          <w:szCs w:val="26"/>
        </w:rPr>
        <w:t xml:space="preserve">A </w:t>
      </w:r>
      <w:r w:rsidR="00646970">
        <w:rPr>
          <w:szCs w:val="26"/>
        </w:rPr>
        <w:t>continuación,</w:t>
      </w:r>
      <w:r>
        <w:rPr>
          <w:szCs w:val="26"/>
        </w:rPr>
        <w:t xml:space="preserve"> mostramos algunos de los indicadores económico-fina</w:t>
      </w:r>
      <w:r w:rsidR="00EC1DE2">
        <w:rPr>
          <w:szCs w:val="26"/>
        </w:rPr>
        <w:t xml:space="preserve">ncieros de este PEF actualizado </w:t>
      </w:r>
      <w:r>
        <w:rPr>
          <w:szCs w:val="26"/>
        </w:rPr>
        <w:t>y su comparación con los previstos in</w:t>
      </w:r>
      <w:r>
        <w:rPr>
          <w:szCs w:val="26"/>
        </w:rPr>
        <w:t>i</w:t>
      </w:r>
      <w:r>
        <w:rPr>
          <w:szCs w:val="26"/>
        </w:rPr>
        <w:t>cialmente en 2014</w:t>
      </w:r>
      <w:r w:rsidR="00133235">
        <w:rPr>
          <w:szCs w:val="26"/>
        </w:rPr>
        <w:t xml:space="preserve"> para el periodo 2014-2029</w:t>
      </w:r>
      <w:r w:rsidR="00D94968">
        <w:rPr>
          <w:szCs w:val="26"/>
        </w:rPr>
        <w:t xml:space="preserve"> (en miles de euros)</w:t>
      </w:r>
      <w:r>
        <w:rPr>
          <w:szCs w:val="26"/>
        </w:rPr>
        <w:t>:</w:t>
      </w:r>
    </w:p>
    <w:tbl>
      <w:tblPr>
        <w:tblW w:w="5000"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738"/>
        <w:gridCol w:w="2063"/>
        <w:gridCol w:w="2064"/>
        <w:gridCol w:w="2064"/>
      </w:tblGrid>
      <w:tr w:rsidR="00C33E41" w:rsidRPr="00C33E41" w:rsidTr="00C33E41">
        <w:trPr>
          <w:trHeight w:val="255"/>
        </w:trPr>
        <w:tc>
          <w:tcPr>
            <w:tcW w:w="1533" w:type="pct"/>
            <w:tcBorders>
              <w:bottom w:val="single" w:sz="4" w:space="0" w:color="auto"/>
            </w:tcBorders>
            <w:shd w:val="clear" w:color="auto" w:fill="8DB3E2"/>
            <w:noWrap/>
            <w:vAlign w:val="center"/>
            <w:hideMark/>
          </w:tcPr>
          <w:p w:rsidR="00F11723" w:rsidRPr="00C33E41" w:rsidRDefault="00F11723" w:rsidP="00C33E41">
            <w:pPr>
              <w:spacing w:after="0"/>
              <w:ind w:firstLine="0"/>
              <w:jc w:val="left"/>
              <w:rPr>
                <w:rFonts w:ascii="Arial" w:hAnsi="Arial" w:cs="Arial"/>
                <w:sz w:val="18"/>
                <w:szCs w:val="18"/>
                <w:lang w:val="es-ES" w:eastAsia="es-ES"/>
              </w:rPr>
            </w:pPr>
          </w:p>
        </w:tc>
        <w:tc>
          <w:tcPr>
            <w:tcW w:w="1155" w:type="pct"/>
            <w:tcBorders>
              <w:bottom w:val="single" w:sz="4" w:space="0" w:color="auto"/>
            </w:tcBorders>
            <w:shd w:val="clear" w:color="auto" w:fill="8DB3E2"/>
            <w:noWrap/>
            <w:vAlign w:val="center"/>
            <w:hideMark/>
          </w:tcPr>
          <w:p w:rsidR="00F11723" w:rsidRPr="00C33E41" w:rsidRDefault="00F11723" w:rsidP="00C33E41">
            <w:pPr>
              <w:spacing w:after="0"/>
              <w:ind w:firstLine="0"/>
              <w:jc w:val="right"/>
              <w:rPr>
                <w:rFonts w:ascii="Arial" w:hAnsi="Arial" w:cs="Arial"/>
                <w:bCs/>
                <w:color w:val="000000"/>
                <w:sz w:val="18"/>
                <w:szCs w:val="18"/>
                <w:lang w:val="es-ES" w:eastAsia="es-ES"/>
              </w:rPr>
            </w:pPr>
            <w:r w:rsidRPr="00C33E41">
              <w:rPr>
                <w:rFonts w:ascii="Arial" w:hAnsi="Arial" w:cs="Arial"/>
                <w:bCs/>
                <w:color w:val="000000"/>
                <w:sz w:val="18"/>
                <w:szCs w:val="18"/>
                <w:lang w:val="es-ES" w:eastAsia="es-ES"/>
              </w:rPr>
              <w:t>PEF 2014</w:t>
            </w:r>
          </w:p>
        </w:tc>
        <w:tc>
          <w:tcPr>
            <w:tcW w:w="1156" w:type="pct"/>
            <w:tcBorders>
              <w:bottom w:val="single" w:sz="4" w:space="0" w:color="auto"/>
            </w:tcBorders>
            <w:shd w:val="clear" w:color="auto" w:fill="8DB3E2"/>
            <w:vAlign w:val="center"/>
            <w:hideMark/>
          </w:tcPr>
          <w:p w:rsidR="00F11723" w:rsidRPr="00C33E41" w:rsidRDefault="00F11723" w:rsidP="00C33E41">
            <w:pPr>
              <w:spacing w:after="0"/>
              <w:ind w:firstLine="0"/>
              <w:jc w:val="right"/>
              <w:rPr>
                <w:rFonts w:ascii="Arial" w:hAnsi="Arial" w:cs="Arial"/>
                <w:bCs/>
                <w:color w:val="000000"/>
                <w:sz w:val="18"/>
                <w:szCs w:val="18"/>
                <w:lang w:val="es-ES" w:eastAsia="es-ES"/>
              </w:rPr>
            </w:pPr>
            <w:r w:rsidRPr="00C33E41">
              <w:rPr>
                <w:rFonts w:ascii="Arial" w:hAnsi="Arial" w:cs="Arial"/>
                <w:bCs/>
                <w:color w:val="000000"/>
                <w:sz w:val="18"/>
                <w:szCs w:val="18"/>
                <w:lang w:val="es-ES" w:eastAsia="es-ES"/>
              </w:rPr>
              <w:t xml:space="preserve">PEF </w:t>
            </w:r>
          </w:p>
          <w:p w:rsidR="00F11723" w:rsidRPr="00C33E41" w:rsidRDefault="00F11723" w:rsidP="00C33E41">
            <w:pPr>
              <w:spacing w:after="0"/>
              <w:ind w:firstLine="0"/>
              <w:jc w:val="right"/>
              <w:rPr>
                <w:rFonts w:ascii="Arial" w:hAnsi="Arial" w:cs="Arial"/>
                <w:bCs/>
                <w:color w:val="000000"/>
                <w:sz w:val="18"/>
                <w:szCs w:val="18"/>
                <w:lang w:val="es-ES" w:eastAsia="es-ES"/>
              </w:rPr>
            </w:pPr>
            <w:r w:rsidRPr="00C33E41">
              <w:rPr>
                <w:rFonts w:ascii="Arial" w:hAnsi="Arial" w:cs="Arial"/>
                <w:bCs/>
                <w:color w:val="000000"/>
                <w:sz w:val="18"/>
                <w:szCs w:val="18"/>
                <w:lang w:val="es-ES" w:eastAsia="es-ES"/>
              </w:rPr>
              <w:t>actualizado 2020</w:t>
            </w:r>
          </w:p>
        </w:tc>
        <w:tc>
          <w:tcPr>
            <w:tcW w:w="1156" w:type="pct"/>
            <w:tcBorders>
              <w:bottom w:val="single" w:sz="4" w:space="0" w:color="auto"/>
            </w:tcBorders>
            <w:shd w:val="clear" w:color="auto" w:fill="8DB3E2"/>
            <w:vAlign w:val="center"/>
            <w:hideMark/>
          </w:tcPr>
          <w:p w:rsidR="00F11723" w:rsidRPr="00C33E41" w:rsidRDefault="00F11723" w:rsidP="00C33E41">
            <w:pPr>
              <w:spacing w:after="0"/>
              <w:ind w:firstLine="0"/>
              <w:jc w:val="right"/>
              <w:rPr>
                <w:rFonts w:ascii="Arial" w:hAnsi="Arial" w:cs="Arial"/>
                <w:bCs/>
                <w:color w:val="000000"/>
                <w:sz w:val="18"/>
                <w:szCs w:val="18"/>
                <w:lang w:val="es-ES" w:eastAsia="es-ES"/>
              </w:rPr>
            </w:pPr>
            <w:r w:rsidRPr="00C33E41">
              <w:rPr>
                <w:rFonts w:ascii="Arial" w:hAnsi="Arial" w:cs="Arial"/>
                <w:bCs/>
                <w:color w:val="000000"/>
                <w:sz w:val="18"/>
                <w:szCs w:val="18"/>
                <w:lang w:val="es-ES" w:eastAsia="es-ES"/>
              </w:rPr>
              <w:t>Var. % PEF 2020</w:t>
            </w:r>
          </w:p>
          <w:p w:rsidR="00F11723" w:rsidRPr="00C33E41" w:rsidRDefault="00F11723" w:rsidP="00C33E41">
            <w:pPr>
              <w:spacing w:after="0"/>
              <w:ind w:firstLine="0"/>
              <w:jc w:val="right"/>
              <w:rPr>
                <w:rFonts w:ascii="Arial" w:hAnsi="Arial" w:cs="Arial"/>
                <w:bCs/>
                <w:color w:val="000000"/>
                <w:sz w:val="18"/>
                <w:szCs w:val="18"/>
                <w:lang w:val="es-ES" w:eastAsia="es-ES"/>
              </w:rPr>
            </w:pPr>
            <w:r w:rsidRPr="00C33E41">
              <w:rPr>
                <w:rFonts w:ascii="Arial" w:hAnsi="Arial" w:cs="Arial"/>
                <w:bCs/>
                <w:color w:val="000000"/>
                <w:sz w:val="18"/>
                <w:szCs w:val="18"/>
                <w:lang w:val="es-ES" w:eastAsia="es-ES"/>
              </w:rPr>
              <w:t>s/ PEF 2014</w:t>
            </w:r>
          </w:p>
        </w:tc>
      </w:tr>
      <w:tr w:rsidR="00C33E41" w:rsidRPr="00C33E41" w:rsidTr="00C33E41">
        <w:trPr>
          <w:trHeight w:val="198"/>
        </w:trPr>
        <w:tc>
          <w:tcPr>
            <w:tcW w:w="1533" w:type="pct"/>
            <w:tcBorders>
              <w:top w:val="single" w:sz="4" w:space="0" w:color="auto"/>
              <w:bottom w:val="single" w:sz="2" w:space="0" w:color="auto"/>
            </w:tcBorders>
            <w:shd w:val="clear" w:color="auto" w:fill="auto"/>
            <w:noWrap/>
            <w:vAlign w:val="center"/>
            <w:hideMark/>
          </w:tcPr>
          <w:p w:rsidR="00F11723" w:rsidRPr="00C33E41" w:rsidRDefault="00F11723" w:rsidP="00C33E41">
            <w:pPr>
              <w:spacing w:after="0"/>
              <w:ind w:firstLine="0"/>
              <w:jc w:val="left"/>
              <w:rPr>
                <w:rFonts w:ascii="Arial Narrow" w:hAnsi="Arial Narrow" w:cs="Calibri"/>
                <w:bCs/>
                <w:color w:val="000000"/>
                <w:lang w:val="es-ES" w:eastAsia="es-ES"/>
              </w:rPr>
            </w:pPr>
            <w:r w:rsidRPr="00C33E41">
              <w:rPr>
                <w:rFonts w:ascii="Arial Narrow" w:hAnsi="Arial Narrow" w:cs="Calibri"/>
                <w:bCs/>
                <w:color w:val="000000"/>
                <w:lang w:val="es-ES" w:eastAsia="es-ES"/>
              </w:rPr>
              <w:t>Recaudación Teórica</w:t>
            </w:r>
          </w:p>
        </w:tc>
        <w:tc>
          <w:tcPr>
            <w:tcW w:w="1155" w:type="pct"/>
            <w:tcBorders>
              <w:top w:val="single" w:sz="4"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869.584</w:t>
            </w:r>
          </w:p>
        </w:tc>
        <w:tc>
          <w:tcPr>
            <w:tcW w:w="1156" w:type="pct"/>
            <w:tcBorders>
              <w:top w:val="single" w:sz="4"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796.743</w:t>
            </w:r>
          </w:p>
        </w:tc>
        <w:tc>
          <w:tcPr>
            <w:tcW w:w="1156" w:type="pct"/>
            <w:tcBorders>
              <w:top w:val="single" w:sz="4"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-8,4</w:t>
            </w:r>
          </w:p>
        </w:tc>
      </w:tr>
      <w:tr w:rsidR="00C33E41" w:rsidRPr="00C33E41" w:rsidTr="00C33E41">
        <w:trPr>
          <w:trHeight w:val="198"/>
        </w:trPr>
        <w:tc>
          <w:tcPr>
            <w:tcW w:w="1533"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left"/>
              <w:rPr>
                <w:rFonts w:ascii="Arial Narrow" w:hAnsi="Arial Narrow" w:cs="Calibri"/>
                <w:bCs/>
                <w:color w:val="000000"/>
                <w:lang w:val="es-ES" w:eastAsia="es-ES"/>
              </w:rPr>
            </w:pPr>
            <w:r w:rsidRPr="00C33E41">
              <w:rPr>
                <w:rFonts w:ascii="Arial Narrow" w:hAnsi="Arial Narrow" w:cs="Calibri"/>
                <w:bCs/>
                <w:color w:val="000000"/>
                <w:lang w:val="es-ES" w:eastAsia="es-ES"/>
              </w:rPr>
              <w:t>Descuentos</w:t>
            </w:r>
          </w:p>
        </w:tc>
        <w:tc>
          <w:tcPr>
            <w:tcW w:w="1155"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751.201</w:t>
            </w:r>
          </w:p>
        </w:tc>
        <w:tc>
          <w:tcPr>
            <w:tcW w:w="1156"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663.368</w:t>
            </w:r>
          </w:p>
        </w:tc>
        <w:tc>
          <w:tcPr>
            <w:tcW w:w="1156"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-11,7</w:t>
            </w:r>
          </w:p>
        </w:tc>
      </w:tr>
      <w:tr w:rsidR="00C33E41" w:rsidRPr="00C33E41" w:rsidTr="00C33E41">
        <w:trPr>
          <w:trHeight w:val="198"/>
        </w:trPr>
        <w:tc>
          <w:tcPr>
            <w:tcW w:w="1533" w:type="pct"/>
            <w:tcBorders>
              <w:top w:val="single" w:sz="2" w:space="0" w:color="auto"/>
              <w:bottom w:val="single" w:sz="2" w:space="0" w:color="auto"/>
            </w:tcBorders>
            <w:shd w:val="clear" w:color="auto" w:fill="auto"/>
            <w:noWrap/>
            <w:vAlign w:val="center"/>
            <w:hideMark/>
          </w:tcPr>
          <w:p w:rsidR="00F11723" w:rsidRPr="00C33E41" w:rsidRDefault="00763F7D" w:rsidP="00C33E41">
            <w:pPr>
              <w:spacing w:after="0"/>
              <w:ind w:firstLine="0"/>
              <w:jc w:val="left"/>
              <w:rPr>
                <w:rFonts w:ascii="Arial Narrow" w:hAnsi="Arial Narrow" w:cs="Calibri"/>
                <w:bCs/>
                <w:color w:val="000000"/>
                <w:lang w:val="es-ES" w:eastAsia="es-ES"/>
              </w:rPr>
            </w:pPr>
            <w:r w:rsidRPr="00C33E41">
              <w:rPr>
                <w:rFonts w:ascii="Arial Narrow" w:hAnsi="Arial Narrow" w:cs="Calibri"/>
                <w:bCs/>
                <w:color w:val="000000"/>
                <w:lang w:val="es-ES" w:eastAsia="es-ES"/>
              </w:rPr>
              <w:t>Compensación ACFN</w:t>
            </w:r>
          </w:p>
        </w:tc>
        <w:tc>
          <w:tcPr>
            <w:tcW w:w="1155" w:type="pct"/>
            <w:tcBorders>
              <w:top w:val="single" w:sz="2" w:space="0" w:color="auto"/>
              <w:bottom w:val="single" w:sz="2" w:space="0" w:color="auto"/>
            </w:tcBorders>
            <w:shd w:val="clear" w:color="auto" w:fill="auto"/>
            <w:noWrap/>
            <w:vAlign w:val="center"/>
            <w:hideMark/>
          </w:tcPr>
          <w:p w:rsidR="00F11723" w:rsidRPr="00C33E41" w:rsidRDefault="00F11723" w:rsidP="005A423F">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225.</w:t>
            </w:r>
            <w:r w:rsidR="005A423F">
              <w:rPr>
                <w:rFonts w:ascii="Arial Narrow" w:hAnsi="Arial Narrow" w:cs="Calibri"/>
                <w:color w:val="000000"/>
                <w:lang w:val="es-ES" w:eastAsia="es-ES"/>
              </w:rPr>
              <w:t>8</w:t>
            </w:r>
            <w:r w:rsidRPr="00C33E41">
              <w:rPr>
                <w:rFonts w:ascii="Arial Narrow" w:hAnsi="Arial Narrow" w:cs="Calibri"/>
                <w:color w:val="000000"/>
                <w:lang w:val="es-ES" w:eastAsia="es-ES"/>
              </w:rPr>
              <w:t>9</w:t>
            </w:r>
            <w:r w:rsidR="005A423F">
              <w:rPr>
                <w:rFonts w:ascii="Arial Narrow" w:hAnsi="Arial Narrow" w:cs="Calibri"/>
                <w:color w:val="000000"/>
                <w:lang w:val="es-ES" w:eastAsia="es-ES"/>
              </w:rPr>
              <w:t>3</w:t>
            </w:r>
          </w:p>
        </w:tc>
        <w:tc>
          <w:tcPr>
            <w:tcW w:w="1156"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239.163</w:t>
            </w:r>
          </w:p>
        </w:tc>
        <w:tc>
          <w:tcPr>
            <w:tcW w:w="1156" w:type="pct"/>
            <w:tcBorders>
              <w:top w:val="single" w:sz="2" w:space="0" w:color="auto"/>
              <w:bottom w:val="single" w:sz="2" w:space="0" w:color="auto"/>
            </w:tcBorders>
            <w:shd w:val="clear" w:color="auto" w:fill="auto"/>
            <w:noWrap/>
            <w:vAlign w:val="center"/>
            <w:hideMark/>
          </w:tcPr>
          <w:p w:rsidR="00F11723" w:rsidRPr="00C33E41" w:rsidRDefault="005A423F" w:rsidP="00C33E41">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5,8</w:t>
            </w:r>
          </w:p>
        </w:tc>
      </w:tr>
      <w:tr w:rsidR="00C33E41" w:rsidRPr="00C33E41" w:rsidTr="00C33E41">
        <w:trPr>
          <w:trHeight w:val="198"/>
        </w:trPr>
        <w:tc>
          <w:tcPr>
            <w:tcW w:w="1533"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left"/>
              <w:rPr>
                <w:rFonts w:ascii="Arial Narrow" w:hAnsi="Arial Narrow" w:cs="Calibri"/>
                <w:bCs/>
                <w:color w:val="000000"/>
                <w:lang w:val="es-ES" w:eastAsia="es-ES"/>
              </w:rPr>
            </w:pPr>
            <w:r w:rsidRPr="00C33E41">
              <w:rPr>
                <w:rFonts w:ascii="Arial Narrow" w:hAnsi="Arial Narrow" w:cs="Calibri"/>
                <w:bCs/>
                <w:color w:val="000000"/>
                <w:lang w:val="es-ES" w:eastAsia="es-ES"/>
              </w:rPr>
              <w:t>% compensación s/ descuentos</w:t>
            </w:r>
          </w:p>
        </w:tc>
        <w:tc>
          <w:tcPr>
            <w:tcW w:w="1155"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30</w:t>
            </w:r>
          </w:p>
        </w:tc>
        <w:tc>
          <w:tcPr>
            <w:tcW w:w="1156"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36,1</w:t>
            </w:r>
          </w:p>
        </w:tc>
        <w:tc>
          <w:tcPr>
            <w:tcW w:w="1156"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20</w:t>
            </w:r>
          </w:p>
        </w:tc>
      </w:tr>
      <w:tr w:rsidR="00C33E41" w:rsidRPr="00C33E41" w:rsidTr="00C33E41">
        <w:trPr>
          <w:trHeight w:val="198"/>
        </w:trPr>
        <w:tc>
          <w:tcPr>
            <w:tcW w:w="1533"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left"/>
              <w:rPr>
                <w:rFonts w:ascii="Arial Narrow" w:hAnsi="Arial Narrow" w:cs="Calibri"/>
                <w:bCs/>
                <w:color w:val="000000"/>
                <w:lang w:val="es-ES" w:eastAsia="es-ES"/>
              </w:rPr>
            </w:pPr>
            <w:r w:rsidRPr="00C33E41">
              <w:rPr>
                <w:rFonts w:ascii="Arial Narrow" w:hAnsi="Arial Narrow" w:cs="Calibri"/>
                <w:bCs/>
                <w:color w:val="000000"/>
                <w:lang w:val="es-ES" w:eastAsia="es-ES"/>
              </w:rPr>
              <w:t>Resultado explotación</w:t>
            </w:r>
          </w:p>
        </w:tc>
        <w:tc>
          <w:tcPr>
            <w:tcW w:w="1155"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481.932</w:t>
            </w:r>
          </w:p>
        </w:tc>
        <w:tc>
          <w:tcPr>
            <w:tcW w:w="1156"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466.307</w:t>
            </w:r>
          </w:p>
        </w:tc>
        <w:tc>
          <w:tcPr>
            <w:tcW w:w="1156"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-3,2</w:t>
            </w:r>
          </w:p>
        </w:tc>
      </w:tr>
      <w:tr w:rsidR="00C33E41" w:rsidRPr="00C33E41" w:rsidTr="00C33E41">
        <w:trPr>
          <w:trHeight w:val="198"/>
        </w:trPr>
        <w:tc>
          <w:tcPr>
            <w:tcW w:w="1533"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left"/>
              <w:rPr>
                <w:rFonts w:ascii="Arial Narrow" w:hAnsi="Arial Narrow" w:cs="Calibri"/>
                <w:bCs/>
                <w:color w:val="000000"/>
                <w:lang w:val="es-ES" w:eastAsia="es-ES"/>
              </w:rPr>
            </w:pPr>
            <w:r w:rsidRPr="00C33E41">
              <w:rPr>
                <w:rFonts w:ascii="Arial Narrow" w:hAnsi="Arial Narrow" w:cs="Calibri"/>
                <w:bCs/>
                <w:color w:val="000000"/>
                <w:lang w:val="es-ES" w:eastAsia="es-ES"/>
              </w:rPr>
              <w:t>EBITDA</w:t>
            </w:r>
            <w:r w:rsidRPr="00C33E41">
              <w:rPr>
                <w:rStyle w:val="Refdenotaalpie"/>
                <w:rFonts w:ascii="Arial Narrow" w:hAnsi="Arial Narrow" w:cs="Calibri"/>
                <w:bCs/>
                <w:color w:val="000000"/>
                <w:lang w:val="es-ES" w:eastAsia="es-ES"/>
              </w:rPr>
              <w:footnoteReference w:id="1"/>
            </w:r>
          </w:p>
        </w:tc>
        <w:tc>
          <w:tcPr>
            <w:tcW w:w="1155"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719.847</w:t>
            </w:r>
          </w:p>
        </w:tc>
        <w:tc>
          <w:tcPr>
            <w:tcW w:w="1156"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703.848</w:t>
            </w:r>
          </w:p>
        </w:tc>
        <w:tc>
          <w:tcPr>
            <w:tcW w:w="1156" w:type="pct"/>
            <w:tcBorders>
              <w:top w:val="single" w:sz="2" w:space="0" w:color="auto"/>
              <w:bottom w:val="single" w:sz="2" w:space="0" w:color="auto"/>
            </w:tcBorders>
            <w:shd w:val="clear" w:color="auto" w:fill="auto"/>
            <w:noWrap/>
            <w:vAlign w:val="center"/>
            <w:hideMark/>
          </w:tcPr>
          <w:p w:rsidR="00F11723" w:rsidRPr="00C33E41" w:rsidRDefault="00F11723"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-2,2</w:t>
            </w:r>
          </w:p>
        </w:tc>
      </w:tr>
      <w:tr w:rsidR="006B242C" w:rsidRPr="00C33E41" w:rsidTr="00C33E41">
        <w:trPr>
          <w:trHeight w:val="198"/>
        </w:trPr>
        <w:tc>
          <w:tcPr>
            <w:tcW w:w="1533" w:type="pct"/>
            <w:tcBorders>
              <w:top w:val="single" w:sz="2" w:space="0" w:color="auto"/>
              <w:bottom w:val="single" w:sz="4" w:space="0" w:color="auto"/>
            </w:tcBorders>
            <w:shd w:val="clear" w:color="auto" w:fill="auto"/>
            <w:noWrap/>
            <w:vAlign w:val="center"/>
          </w:tcPr>
          <w:p w:rsidR="006B242C" w:rsidRPr="00C33E41" w:rsidRDefault="006B242C" w:rsidP="00C33E41">
            <w:pPr>
              <w:spacing w:after="0"/>
              <w:ind w:firstLine="0"/>
              <w:jc w:val="left"/>
              <w:rPr>
                <w:rFonts w:ascii="Arial Narrow" w:hAnsi="Arial Narrow" w:cs="Calibri"/>
                <w:bCs/>
                <w:color w:val="000000"/>
                <w:lang w:val="es-ES" w:eastAsia="es-ES"/>
              </w:rPr>
            </w:pPr>
            <w:r w:rsidRPr="00C33E41">
              <w:rPr>
                <w:rFonts w:ascii="Arial Narrow" w:hAnsi="Arial Narrow" w:cs="Calibri"/>
                <w:bCs/>
                <w:color w:val="000000"/>
                <w:lang w:val="es-ES" w:eastAsia="es-ES"/>
              </w:rPr>
              <w:t>Flujos efectivo ACFN</w:t>
            </w:r>
            <w:r w:rsidRPr="00C33E41">
              <w:rPr>
                <w:rStyle w:val="Refdenotaalpie"/>
                <w:rFonts w:ascii="Arial Narrow" w:hAnsi="Arial Narrow" w:cs="Calibri"/>
                <w:bCs/>
                <w:color w:val="000000"/>
                <w:lang w:val="es-ES" w:eastAsia="es-ES"/>
              </w:rPr>
              <w:footnoteReference w:id="2"/>
            </w:r>
          </w:p>
        </w:tc>
        <w:tc>
          <w:tcPr>
            <w:tcW w:w="1155" w:type="pct"/>
            <w:tcBorders>
              <w:top w:val="single" w:sz="2" w:space="0" w:color="auto"/>
              <w:bottom w:val="single" w:sz="4" w:space="0" w:color="auto"/>
            </w:tcBorders>
            <w:shd w:val="clear" w:color="auto" w:fill="auto"/>
            <w:noWrap/>
            <w:vAlign w:val="center"/>
          </w:tcPr>
          <w:p w:rsidR="006B242C" w:rsidRPr="00C33E41" w:rsidRDefault="006B242C"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109.109</w:t>
            </w:r>
          </w:p>
        </w:tc>
        <w:tc>
          <w:tcPr>
            <w:tcW w:w="1156" w:type="pct"/>
            <w:tcBorders>
              <w:top w:val="single" w:sz="2" w:space="0" w:color="auto"/>
              <w:bottom w:val="single" w:sz="4" w:space="0" w:color="auto"/>
            </w:tcBorders>
            <w:shd w:val="clear" w:color="auto" w:fill="auto"/>
            <w:noWrap/>
            <w:vAlign w:val="center"/>
          </w:tcPr>
          <w:p w:rsidR="006B242C" w:rsidRPr="00C33E41" w:rsidRDefault="006B242C"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205.383</w:t>
            </w:r>
          </w:p>
        </w:tc>
        <w:tc>
          <w:tcPr>
            <w:tcW w:w="1156" w:type="pct"/>
            <w:tcBorders>
              <w:top w:val="single" w:sz="2" w:space="0" w:color="auto"/>
              <w:bottom w:val="single" w:sz="4" w:space="0" w:color="auto"/>
            </w:tcBorders>
            <w:shd w:val="clear" w:color="auto" w:fill="auto"/>
            <w:noWrap/>
            <w:vAlign w:val="center"/>
          </w:tcPr>
          <w:p w:rsidR="006B242C" w:rsidRPr="00C33E41" w:rsidRDefault="006B242C"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88</w:t>
            </w:r>
            <w:r w:rsidR="00413E96" w:rsidRPr="00C33E41">
              <w:rPr>
                <w:rFonts w:ascii="Arial Narrow" w:hAnsi="Arial Narrow" w:cs="Calibri"/>
                <w:color w:val="000000"/>
                <w:lang w:val="es-ES" w:eastAsia="es-ES"/>
              </w:rPr>
              <w:t>,2</w:t>
            </w:r>
          </w:p>
        </w:tc>
      </w:tr>
    </w:tbl>
    <w:p w:rsidR="0013027E" w:rsidRDefault="00F11723" w:rsidP="002A0C45">
      <w:pPr>
        <w:pStyle w:val="texto"/>
        <w:tabs>
          <w:tab w:val="clear" w:pos="2835"/>
          <w:tab w:val="clear" w:pos="3969"/>
          <w:tab w:val="clear" w:pos="5103"/>
          <w:tab w:val="clear" w:pos="6237"/>
          <w:tab w:val="clear" w:pos="7371"/>
          <w:tab w:val="left" w:pos="567"/>
        </w:tabs>
        <w:spacing w:before="240" w:after="120"/>
        <w:rPr>
          <w:szCs w:val="26"/>
        </w:rPr>
      </w:pPr>
      <w:r>
        <w:rPr>
          <w:szCs w:val="26"/>
        </w:rPr>
        <w:t xml:space="preserve">Como se observa, </w:t>
      </w:r>
      <w:r w:rsidR="00133235">
        <w:rPr>
          <w:szCs w:val="26"/>
        </w:rPr>
        <w:t>para el conjunto del periodo 2014-2029, la recaudación teórica, los descuentos, el resultado de explotación y el EBITDA disminuyen respecto a lo previsto en 2014, si bien la compensación de la ACFN y el po</w:t>
      </w:r>
      <w:r w:rsidR="00133235">
        <w:rPr>
          <w:szCs w:val="26"/>
        </w:rPr>
        <w:t>r</w:t>
      </w:r>
      <w:r w:rsidR="00133235">
        <w:rPr>
          <w:szCs w:val="26"/>
        </w:rPr>
        <w:t>centaje sobre los descuentos incrementan.</w:t>
      </w:r>
      <w:r w:rsidR="00E53027">
        <w:rPr>
          <w:szCs w:val="26"/>
        </w:rPr>
        <w:t xml:space="preserve"> </w:t>
      </w:r>
    </w:p>
    <w:p w:rsidR="00883DA6" w:rsidRDefault="006B242C" w:rsidP="0013027E">
      <w:pPr>
        <w:pStyle w:val="texto"/>
        <w:tabs>
          <w:tab w:val="clear" w:pos="2835"/>
          <w:tab w:val="clear" w:pos="3969"/>
          <w:tab w:val="clear" w:pos="5103"/>
          <w:tab w:val="clear" w:pos="6237"/>
          <w:tab w:val="clear" w:pos="7371"/>
          <w:tab w:val="left" w:pos="567"/>
        </w:tabs>
        <w:spacing w:before="120" w:after="120"/>
        <w:rPr>
          <w:szCs w:val="26"/>
        </w:rPr>
      </w:pPr>
      <w:r>
        <w:rPr>
          <w:szCs w:val="26"/>
        </w:rPr>
        <w:lastRenderedPageBreak/>
        <w:t>Por otra parte, los flujos</w:t>
      </w:r>
      <w:r w:rsidR="005629C8">
        <w:rPr>
          <w:szCs w:val="26"/>
        </w:rPr>
        <w:t xml:space="preserve"> de efectivo</w:t>
      </w:r>
      <w:r>
        <w:rPr>
          <w:szCs w:val="26"/>
        </w:rPr>
        <w:t xml:space="preserve"> para la ACFN se incrementan un 88 por ciento </w:t>
      </w:r>
      <w:r w:rsidR="002F5AF1">
        <w:rPr>
          <w:szCs w:val="26"/>
        </w:rPr>
        <w:t>debido en gran parte a las reducciones de capital realizadas no previstas</w:t>
      </w:r>
      <w:r w:rsidR="0013027E">
        <w:rPr>
          <w:szCs w:val="26"/>
        </w:rPr>
        <w:t xml:space="preserve"> inicialmente en 2014 que en el periodo 2017-2021 ascienden a 41,72 millones; el efecto en los flujos si no hubieran existido estas reducciones ascendería a un incremento del 50 por ciento.</w:t>
      </w:r>
    </w:p>
    <w:p w:rsidR="00E53027" w:rsidRDefault="00E53027" w:rsidP="00E53027">
      <w:pPr>
        <w:pStyle w:val="texto"/>
        <w:tabs>
          <w:tab w:val="clear" w:pos="2835"/>
          <w:tab w:val="clear" w:pos="3969"/>
          <w:tab w:val="clear" w:pos="5103"/>
          <w:tab w:val="clear" w:pos="6237"/>
          <w:tab w:val="clear" w:pos="7371"/>
          <w:tab w:val="left" w:pos="567"/>
        </w:tabs>
        <w:spacing w:before="120" w:after="240"/>
        <w:rPr>
          <w:szCs w:val="26"/>
        </w:rPr>
      </w:pPr>
      <w:r>
        <w:rPr>
          <w:szCs w:val="26"/>
        </w:rPr>
        <w:t>Para interpretar la variación de estos indicadores respecto a lo previsto en el PEF 2014, hay que tener en cuenta la evolución de los mismos hasta 2019 y hasta el resto de la concesión tal y como se muestra en el siguiente cuadro:</w:t>
      </w:r>
    </w:p>
    <w:tbl>
      <w:tblPr>
        <w:tblW w:w="5000" w:type="pct"/>
        <w:tblCellMar>
          <w:left w:w="30" w:type="dxa"/>
          <w:right w:w="30" w:type="dxa"/>
        </w:tblCellMar>
        <w:tblLook w:val="0000" w:firstRow="0" w:lastRow="0" w:firstColumn="0" w:lastColumn="0" w:noHBand="0" w:noVBand="0"/>
      </w:tblPr>
      <w:tblGrid>
        <w:gridCol w:w="1168"/>
        <w:gridCol w:w="1752"/>
        <w:gridCol w:w="1819"/>
        <w:gridCol w:w="1901"/>
        <w:gridCol w:w="2209"/>
      </w:tblGrid>
      <w:tr w:rsidR="00C33E41" w:rsidRPr="00C33E41" w:rsidTr="00A26BBD">
        <w:trPr>
          <w:trHeight w:val="510"/>
        </w:trPr>
        <w:tc>
          <w:tcPr>
            <w:tcW w:w="660" w:type="pct"/>
            <w:tcBorders>
              <w:top w:val="single" w:sz="4" w:space="0" w:color="auto"/>
              <w:left w:val="nil"/>
              <w:bottom w:val="single" w:sz="4" w:space="0" w:color="auto"/>
              <w:right w:val="nil"/>
            </w:tcBorders>
            <w:shd w:val="clear" w:color="auto" w:fill="8DB3E2"/>
            <w:vAlign w:val="center"/>
          </w:tcPr>
          <w:p w:rsidR="00C35D5E" w:rsidRPr="00C33E41" w:rsidRDefault="00413E96" w:rsidP="00C33E41">
            <w:pPr>
              <w:autoSpaceDE w:val="0"/>
              <w:autoSpaceDN w:val="0"/>
              <w:adjustRightInd w:val="0"/>
              <w:spacing w:after="0"/>
              <w:ind w:firstLine="0"/>
              <w:jc w:val="left"/>
              <w:rPr>
                <w:rFonts w:ascii="Arial" w:hAnsi="Arial" w:cs="Arial"/>
                <w:color w:val="000000"/>
                <w:sz w:val="18"/>
                <w:szCs w:val="18"/>
                <w:lang w:val="es-ES" w:eastAsia="es-ES"/>
              </w:rPr>
            </w:pPr>
            <w:r w:rsidRPr="00C33E41">
              <w:rPr>
                <w:rFonts w:ascii="Arial" w:hAnsi="Arial" w:cs="Arial"/>
                <w:color w:val="000000"/>
                <w:sz w:val="18"/>
                <w:szCs w:val="18"/>
                <w:lang w:val="es-ES" w:eastAsia="es-ES"/>
              </w:rPr>
              <w:t>% variación</w:t>
            </w:r>
          </w:p>
        </w:tc>
        <w:tc>
          <w:tcPr>
            <w:tcW w:w="990" w:type="pct"/>
            <w:tcBorders>
              <w:top w:val="single" w:sz="4" w:space="0" w:color="auto"/>
              <w:left w:val="nil"/>
              <w:bottom w:val="single" w:sz="4" w:space="0" w:color="auto"/>
              <w:right w:val="nil"/>
            </w:tcBorders>
            <w:shd w:val="clear" w:color="auto" w:fill="8DB3E2"/>
            <w:vAlign w:val="center"/>
          </w:tcPr>
          <w:p w:rsidR="00A26BBD" w:rsidRDefault="00C35D5E" w:rsidP="00C33E41">
            <w:pPr>
              <w:autoSpaceDE w:val="0"/>
              <w:autoSpaceDN w:val="0"/>
              <w:adjustRightInd w:val="0"/>
              <w:spacing w:after="0"/>
              <w:ind w:firstLine="0"/>
              <w:jc w:val="right"/>
              <w:rPr>
                <w:rFonts w:ascii="Arial" w:hAnsi="Arial" w:cs="Arial"/>
                <w:bCs/>
                <w:color w:val="000000"/>
                <w:sz w:val="18"/>
                <w:szCs w:val="18"/>
                <w:lang w:val="es-ES" w:eastAsia="es-ES"/>
              </w:rPr>
            </w:pPr>
            <w:r w:rsidRPr="00C33E41">
              <w:rPr>
                <w:rFonts w:ascii="Arial" w:hAnsi="Arial" w:cs="Arial"/>
                <w:bCs/>
                <w:color w:val="000000"/>
                <w:sz w:val="18"/>
                <w:szCs w:val="18"/>
                <w:lang w:val="es-ES" w:eastAsia="es-ES"/>
              </w:rPr>
              <w:t>Recaudación</w:t>
            </w:r>
          </w:p>
          <w:p w:rsidR="00C35D5E" w:rsidRPr="00C33E41" w:rsidRDefault="00C35D5E" w:rsidP="00C33E41">
            <w:pPr>
              <w:autoSpaceDE w:val="0"/>
              <w:autoSpaceDN w:val="0"/>
              <w:adjustRightInd w:val="0"/>
              <w:spacing w:after="0"/>
              <w:ind w:firstLine="0"/>
              <w:jc w:val="right"/>
              <w:rPr>
                <w:rFonts w:ascii="Arial" w:hAnsi="Arial" w:cs="Arial"/>
                <w:bCs/>
                <w:color w:val="000000"/>
                <w:sz w:val="18"/>
                <w:szCs w:val="18"/>
                <w:lang w:val="es-ES" w:eastAsia="es-ES"/>
              </w:rPr>
            </w:pPr>
            <w:r w:rsidRPr="00C33E41">
              <w:rPr>
                <w:rFonts w:ascii="Arial" w:hAnsi="Arial" w:cs="Arial"/>
                <w:bCs/>
                <w:color w:val="000000"/>
                <w:sz w:val="18"/>
                <w:szCs w:val="18"/>
                <w:lang w:val="es-ES" w:eastAsia="es-ES"/>
              </w:rPr>
              <w:t xml:space="preserve"> teórica  </w:t>
            </w:r>
          </w:p>
        </w:tc>
        <w:tc>
          <w:tcPr>
            <w:tcW w:w="1028" w:type="pct"/>
            <w:tcBorders>
              <w:top w:val="single" w:sz="4" w:space="0" w:color="auto"/>
              <w:left w:val="nil"/>
              <w:bottom w:val="single" w:sz="4" w:space="0" w:color="auto"/>
              <w:right w:val="nil"/>
            </w:tcBorders>
            <w:shd w:val="clear" w:color="auto" w:fill="8DB3E2"/>
            <w:vAlign w:val="center"/>
          </w:tcPr>
          <w:p w:rsidR="00A26BBD" w:rsidRDefault="00C35D5E" w:rsidP="00C33E41">
            <w:pPr>
              <w:autoSpaceDE w:val="0"/>
              <w:autoSpaceDN w:val="0"/>
              <w:adjustRightInd w:val="0"/>
              <w:spacing w:after="0"/>
              <w:ind w:firstLine="0"/>
              <w:jc w:val="right"/>
              <w:rPr>
                <w:rFonts w:ascii="Arial" w:hAnsi="Arial" w:cs="Arial"/>
                <w:bCs/>
                <w:color w:val="000000"/>
                <w:sz w:val="18"/>
                <w:szCs w:val="18"/>
                <w:lang w:val="es-ES" w:eastAsia="es-ES"/>
              </w:rPr>
            </w:pPr>
            <w:r w:rsidRPr="00C33E41">
              <w:rPr>
                <w:rFonts w:ascii="Arial" w:hAnsi="Arial" w:cs="Arial"/>
                <w:bCs/>
                <w:color w:val="000000"/>
                <w:sz w:val="18"/>
                <w:szCs w:val="18"/>
                <w:lang w:val="es-ES" w:eastAsia="es-ES"/>
              </w:rPr>
              <w:t xml:space="preserve">Compensación </w:t>
            </w:r>
          </w:p>
          <w:p w:rsidR="00C35D5E" w:rsidRPr="00C33E41" w:rsidRDefault="00C35D5E" w:rsidP="00C33E41">
            <w:pPr>
              <w:autoSpaceDE w:val="0"/>
              <w:autoSpaceDN w:val="0"/>
              <w:adjustRightInd w:val="0"/>
              <w:spacing w:after="0"/>
              <w:ind w:firstLine="0"/>
              <w:jc w:val="right"/>
              <w:rPr>
                <w:rFonts w:ascii="Arial" w:hAnsi="Arial" w:cs="Arial"/>
                <w:bCs/>
                <w:color w:val="000000"/>
                <w:sz w:val="18"/>
                <w:szCs w:val="18"/>
                <w:lang w:val="es-ES" w:eastAsia="es-ES"/>
              </w:rPr>
            </w:pPr>
            <w:r w:rsidRPr="00C33E41">
              <w:rPr>
                <w:rFonts w:ascii="Arial" w:hAnsi="Arial" w:cs="Arial"/>
                <w:bCs/>
                <w:color w:val="000000"/>
                <w:sz w:val="18"/>
                <w:szCs w:val="18"/>
                <w:lang w:val="es-ES" w:eastAsia="es-ES"/>
              </w:rPr>
              <w:t>ACFN</w:t>
            </w:r>
            <w:r w:rsidR="00413E96" w:rsidRPr="00C33E41">
              <w:rPr>
                <w:rFonts w:ascii="Arial" w:hAnsi="Arial" w:cs="Arial"/>
                <w:bCs/>
                <w:color w:val="000000"/>
                <w:sz w:val="18"/>
                <w:szCs w:val="18"/>
                <w:lang w:val="es-ES" w:eastAsia="es-ES"/>
              </w:rPr>
              <w:t xml:space="preserve"> </w:t>
            </w:r>
          </w:p>
        </w:tc>
        <w:tc>
          <w:tcPr>
            <w:tcW w:w="1074" w:type="pct"/>
            <w:tcBorders>
              <w:top w:val="single" w:sz="4" w:space="0" w:color="auto"/>
              <w:left w:val="nil"/>
              <w:bottom w:val="single" w:sz="4" w:space="0" w:color="auto"/>
              <w:right w:val="nil"/>
            </w:tcBorders>
            <w:shd w:val="clear" w:color="auto" w:fill="8DB3E2"/>
            <w:vAlign w:val="center"/>
          </w:tcPr>
          <w:p w:rsidR="00A26BBD" w:rsidRDefault="00C35D5E" w:rsidP="00C33E41">
            <w:pPr>
              <w:autoSpaceDE w:val="0"/>
              <w:autoSpaceDN w:val="0"/>
              <w:adjustRightInd w:val="0"/>
              <w:spacing w:after="0"/>
              <w:ind w:firstLine="0"/>
              <w:jc w:val="right"/>
              <w:rPr>
                <w:rFonts w:ascii="Arial" w:hAnsi="Arial" w:cs="Arial"/>
                <w:bCs/>
                <w:color w:val="000000"/>
                <w:sz w:val="18"/>
                <w:szCs w:val="18"/>
                <w:lang w:val="es-ES" w:eastAsia="es-ES"/>
              </w:rPr>
            </w:pPr>
            <w:r w:rsidRPr="00C33E41">
              <w:rPr>
                <w:rFonts w:ascii="Arial" w:hAnsi="Arial" w:cs="Arial"/>
                <w:bCs/>
                <w:color w:val="000000"/>
                <w:sz w:val="18"/>
                <w:szCs w:val="18"/>
                <w:lang w:val="es-ES" w:eastAsia="es-ES"/>
              </w:rPr>
              <w:t xml:space="preserve">Descuentos </w:t>
            </w:r>
          </w:p>
          <w:p w:rsidR="00C35D5E" w:rsidRPr="00C33E41" w:rsidRDefault="00C35D5E" w:rsidP="00C33E41">
            <w:pPr>
              <w:autoSpaceDE w:val="0"/>
              <w:autoSpaceDN w:val="0"/>
              <w:adjustRightInd w:val="0"/>
              <w:spacing w:after="0"/>
              <w:ind w:firstLine="0"/>
              <w:jc w:val="right"/>
              <w:rPr>
                <w:rFonts w:ascii="Arial" w:hAnsi="Arial" w:cs="Arial"/>
                <w:bCs/>
                <w:color w:val="000000"/>
                <w:sz w:val="18"/>
                <w:szCs w:val="18"/>
                <w:lang w:val="es-ES" w:eastAsia="es-ES"/>
              </w:rPr>
            </w:pPr>
            <w:r w:rsidRPr="00C33E41">
              <w:rPr>
                <w:rFonts w:ascii="Arial" w:hAnsi="Arial" w:cs="Arial"/>
                <w:bCs/>
                <w:color w:val="000000"/>
                <w:sz w:val="18"/>
                <w:szCs w:val="18"/>
                <w:lang w:val="es-ES" w:eastAsia="es-ES"/>
              </w:rPr>
              <w:t xml:space="preserve">aplicados </w:t>
            </w:r>
          </w:p>
        </w:tc>
        <w:tc>
          <w:tcPr>
            <w:tcW w:w="1248" w:type="pct"/>
            <w:tcBorders>
              <w:top w:val="single" w:sz="4" w:space="0" w:color="auto"/>
              <w:left w:val="nil"/>
              <w:bottom w:val="single" w:sz="4" w:space="0" w:color="auto"/>
              <w:right w:val="nil"/>
            </w:tcBorders>
            <w:shd w:val="clear" w:color="auto" w:fill="8DB3E2"/>
            <w:vAlign w:val="center"/>
          </w:tcPr>
          <w:p w:rsidR="00A26BBD" w:rsidRDefault="00413E96" w:rsidP="00C33E41">
            <w:pPr>
              <w:autoSpaceDE w:val="0"/>
              <w:autoSpaceDN w:val="0"/>
              <w:adjustRightInd w:val="0"/>
              <w:spacing w:after="0"/>
              <w:ind w:firstLine="0"/>
              <w:jc w:val="right"/>
              <w:rPr>
                <w:rFonts w:ascii="Arial" w:hAnsi="Arial" w:cs="Arial"/>
                <w:bCs/>
                <w:color w:val="000000"/>
                <w:sz w:val="18"/>
                <w:szCs w:val="18"/>
                <w:lang w:val="es-ES" w:eastAsia="es-ES"/>
              </w:rPr>
            </w:pPr>
            <w:r w:rsidRPr="00C33E41">
              <w:rPr>
                <w:rFonts w:ascii="Arial" w:hAnsi="Arial" w:cs="Arial"/>
                <w:bCs/>
                <w:color w:val="000000"/>
                <w:sz w:val="18"/>
                <w:szCs w:val="18"/>
                <w:lang w:val="es-ES" w:eastAsia="es-ES"/>
              </w:rPr>
              <w:t xml:space="preserve">Flujos de efectivo </w:t>
            </w:r>
          </w:p>
          <w:p w:rsidR="00C35D5E" w:rsidRPr="00C33E41" w:rsidRDefault="00413E96" w:rsidP="00C33E41">
            <w:pPr>
              <w:autoSpaceDE w:val="0"/>
              <w:autoSpaceDN w:val="0"/>
              <w:adjustRightInd w:val="0"/>
              <w:spacing w:after="0"/>
              <w:ind w:firstLine="0"/>
              <w:jc w:val="right"/>
              <w:rPr>
                <w:rFonts w:ascii="Arial" w:hAnsi="Arial" w:cs="Arial"/>
                <w:bCs/>
                <w:color w:val="000000"/>
                <w:sz w:val="18"/>
                <w:szCs w:val="18"/>
                <w:lang w:val="es-ES" w:eastAsia="es-ES"/>
              </w:rPr>
            </w:pPr>
            <w:r w:rsidRPr="00C33E41">
              <w:rPr>
                <w:rFonts w:ascii="Arial" w:hAnsi="Arial" w:cs="Arial"/>
                <w:bCs/>
                <w:color w:val="000000"/>
                <w:sz w:val="18"/>
                <w:szCs w:val="18"/>
                <w:lang w:val="es-ES" w:eastAsia="es-ES"/>
              </w:rPr>
              <w:t>ACFN</w:t>
            </w:r>
          </w:p>
        </w:tc>
      </w:tr>
      <w:tr w:rsidR="00C33E41" w:rsidRPr="00C33E41" w:rsidTr="00C33E41">
        <w:trPr>
          <w:trHeight w:val="198"/>
        </w:trPr>
        <w:tc>
          <w:tcPr>
            <w:tcW w:w="660" w:type="pct"/>
            <w:tcBorders>
              <w:top w:val="single" w:sz="4" w:space="0" w:color="auto"/>
              <w:left w:val="nil"/>
              <w:bottom w:val="single" w:sz="2" w:space="0" w:color="auto"/>
              <w:right w:val="nil"/>
            </w:tcBorders>
            <w:shd w:val="clear" w:color="auto" w:fill="auto"/>
            <w:vAlign w:val="center"/>
          </w:tcPr>
          <w:p w:rsidR="00C35D5E" w:rsidRPr="00C33E41" w:rsidRDefault="00C35D5E" w:rsidP="00C33E41">
            <w:pPr>
              <w:autoSpaceDE w:val="0"/>
              <w:autoSpaceDN w:val="0"/>
              <w:adjustRightInd w:val="0"/>
              <w:spacing w:after="0"/>
              <w:ind w:firstLine="0"/>
              <w:jc w:val="left"/>
              <w:rPr>
                <w:rFonts w:ascii="Arial Narrow" w:hAnsi="Arial Narrow" w:cs="Arial"/>
                <w:bCs/>
                <w:lang w:val="es-ES" w:eastAsia="es-ES"/>
              </w:rPr>
            </w:pPr>
            <w:r w:rsidRPr="00C33E41">
              <w:rPr>
                <w:rFonts w:ascii="Arial Narrow" w:hAnsi="Arial Narrow" w:cs="Arial"/>
                <w:bCs/>
                <w:lang w:val="es-ES" w:eastAsia="es-ES"/>
              </w:rPr>
              <w:t>201</w:t>
            </w:r>
            <w:r w:rsidR="0013027E" w:rsidRPr="00C33E41">
              <w:rPr>
                <w:rFonts w:ascii="Arial Narrow" w:hAnsi="Arial Narrow" w:cs="Arial"/>
                <w:bCs/>
                <w:lang w:val="es-ES" w:eastAsia="es-ES"/>
              </w:rPr>
              <w:t>4</w:t>
            </w:r>
            <w:r w:rsidRPr="00C33E41">
              <w:rPr>
                <w:rFonts w:ascii="Arial Narrow" w:hAnsi="Arial Narrow" w:cs="Arial"/>
                <w:bCs/>
                <w:lang w:val="es-ES" w:eastAsia="es-ES"/>
              </w:rPr>
              <w:t>-2019</w:t>
            </w:r>
          </w:p>
        </w:tc>
        <w:tc>
          <w:tcPr>
            <w:tcW w:w="990" w:type="pct"/>
            <w:tcBorders>
              <w:top w:val="single" w:sz="4" w:space="0" w:color="auto"/>
              <w:left w:val="nil"/>
              <w:bottom w:val="single" w:sz="2" w:space="0" w:color="auto"/>
              <w:right w:val="nil"/>
            </w:tcBorders>
            <w:shd w:val="clear" w:color="auto" w:fill="auto"/>
            <w:vAlign w:val="center"/>
          </w:tcPr>
          <w:p w:rsidR="00C35D5E" w:rsidRPr="00C33E41" w:rsidRDefault="00413E96" w:rsidP="00C33E41">
            <w:pPr>
              <w:autoSpaceDE w:val="0"/>
              <w:autoSpaceDN w:val="0"/>
              <w:adjustRightInd w:val="0"/>
              <w:spacing w:after="0"/>
              <w:ind w:firstLine="0"/>
              <w:jc w:val="right"/>
              <w:rPr>
                <w:rFonts w:ascii="Arial Narrow" w:hAnsi="Arial Narrow" w:cs="Arial"/>
                <w:bCs/>
                <w:lang w:val="es-ES" w:eastAsia="es-ES"/>
              </w:rPr>
            </w:pPr>
            <w:r w:rsidRPr="00C33E41">
              <w:rPr>
                <w:rFonts w:ascii="Arial Narrow" w:hAnsi="Arial Narrow" w:cs="Arial"/>
                <w:bCs/>
                <w:lang w:val="es-ES" w:eastAsia="es-ES"/>
              </w:rPr>
              <w:t>3,41</w:t>
            </w:r>
          </w:p>
        </w:tc>
        <w:tc>
          <w:tcPr>
            <w:tcW w:w="1028" w:type="pct"/>
            <w:tcBorders>
              <w:top w:val="single" w:sz="4" w:space="0" w:color="auto"/>
              <w:left w:val="nil"/>
              <w:bottom w:val="single" w:sz="2" w:space="0" w:color="auto"/>
              <w:right w:val="nil"/>
            </w:tcBorders>
            <w:shd w:val="clear" w:color="auto" w:fill="auto"/>
            <w:vAlign w:val="center"/>
          </w:tcPr>
          <w:p w:rsidR="00C35D5E" w:rsidRPr="00C33E41" w:rsidRDefault="00413E96" w:rsidP="00C33E41">
            <w:pPr>
              <w:autoSpaceDE w:val="0"/>
              <w:autoSpaceDN w:val="0"/>
              <w:adjustRightInd w:val="0"/>
              <w:spacing w:after="0"/>
              <w:ind w:firstLine="0"/>
              <w:jc w:val="right"/>
              <w:rPr>
                <w:rFonts w:ascii="Arial Narrow" w:hAnsi="Arial Narrow" w:cs="Arial"/>
                <w:bCs/>
                <w:lang w:val="es-ES" w:eastAsia="es-ES"/>
              </w:rPr>
            </w:pPr>
            <w:r w:rsidRPr="00C33E41">
              <w:rPr>
                <w:rFonts w:ascii="Arial Narrow" w:hAnsi="Arial Narrow" w:cs="Arial"/>
                <w:bCs/>
                <w:lang w:val="es-ES" w:eastAsia="es-ES"/>
              </w:rPr>
              <w:t>15,2</w:t>
            </w:r>
          </w:p>
        </w:tc>
        <w:tc>
          <w:tcPr>
            <w:tcW w:w="1074" w:type="pct"/>
            <w:tcBorders>
              <w:top w:val="single" w:sz="4" w:space="0" w:color="auto"/>
              <w:left w:val="nil"/>
              <w:bottom w:val="single" w:sz="2" w:space="0" w:color="auto"/>
              <w:right w:val="nil"/>
            </w:tcBorders>
            <w:shd w:val="clear" w:color="auto" w:fill="auto"/>
            <w:vAlign w:val="center"/>
          </w:tcPr>
          <w:p w:rsidR="00C35D5E" w:rsidRPr="00C33E41" w:rsidRDefault="00413E96" w:rsidP="00C33E41">
            <w:pPr>
              <w:autoSpaceDE w:val="0"/>
              <w:autoSpaceDN w:val="0"/>
              <w:adjustRightInd w:val="0"/>
              <w:spacing w:after="0"/>
              <w:ind w:firstLine="0"/>
              <w:jc w:val="right"/>
              <w:rPr>
                <w:rFonts w:ascii="Arial Narrow" w:hAnsi="Arial Narrow" w:cs="Arial"/>
                <w:bCs/>
                <w:lang w:val="es-ES" w:eastAsia="es-ES"/>
              </w:rPr>
            </w:pPr>
            <w:r w:rsidRPr="00C33E41">
              <w:rPr>
                <w:rFonts w:ascii="Arial Narrow" w:hAnsi="Arial Narrow" w:cs="Arial"/>
                <w:bCs/>
                <w:lang w:val="es-ES" w:eastAsia="es-ES"/>
              </w:rPr>
              <w:t>-0,5</w:t>
            </w:r>
          </w:p>
        </w:tc>
        <w:tc>
          <w:tcPr>
            <w:tcW w:w="1248" w:type="pct"/>
            <w:tcBorders>
              <w:top w:val="single" w:sz="4" w:space="0" w:color="auto"/>
              <w:left w:val="nil"/>
              <w:bottom w:val="single" w:sz="2" w:space="0" w:color="auto"/>
              <w:right w:val="nil"/>
            </w:tcBorders>
            <w:shd w:val="clear" w:color="auto" w:fill="auto"/>
            <w:vAlign w:val="center"/>
          </w:tcPr>
          <w:p w:rsidR="00C35D5E" w:rsidRPr="00C33E41" w:rsidRDefault="00413E96" w:rsidP="00C33E41">
            <w:pPr>
              <w:autoSpaceDE w:val="0"/>
              <w:autoSpaceDN w:val="0"/>
              <w:adjustRightInd w:val="0"/>
              <w:spacing w:after="0"/>
              <w:ind w:firstLine="0"/>
              <w:jc w:val="right"/>
              <w:rPr>
                <w:rFonts w:ascii="Arial Narrow" w:hAnsi="Arial Narrow" w:cs="Arial"/>
                <w:bCs/>
                <w:lang w:val="es-ES" w:eastAsia="es-ES"/>
              </w:rPr>
            </w:pPr>
            <w:r w:rsidRPr="00C33E41">
              <w:rPr>
                <w:rFonts w:ascii="Arial Narrow" w:hAnsi="Arial Narrow" w:cs="Arial"/>
                <w:bCs/>
                <w:lang w:val="es-ES" w:eastAsia="es-ES"/>
              </w:rPr>
              <w:t>329,2</w:t>
            </w:r>
          </w:p>
        </w:tc>
      </w:tr>
      <w:tr w:rsidR="00C33E41" w:rsidRPr="00C33E41" w:rsidTr="00C33E41">
        <w:trPr>
          <w:trHeight w:val="198"/>
        </w:trPr>
        <w:tc>
          <w:tcPr>
            <w:tcW w:w="660" w:type="pct"/>
            <w:tcBorders>
              <w:top w:val="single" w:sz="2" w:space="0" w:color="auto"/>
              <w:left w:val="nil"/>
              <w:bottom w:val="single" w:sz="4" w:space="0" w:color="auto"/>
              <w:right w:val="nil"/>
            </w:tcBorders>
            <w:shd w:val="clear" w:color="auto" w:fill="auto"/>
            <w:vAlign w:val="center"/>
          </w:tcPr>
          <w:p w:rsidR="00C35D5E" w:rsidRPr="00C33E41" w:rsidRDefault="00C35D5E" w:rsidP="00C33E41">
            <w:pPr>
              <w:autoSpaceDE w:val="0"/>
              <w:autoSpaceDN w:val="0"/>
              <w:adjustRightInd w:val="0"/>
              <w:spacing w:after="0"/>
              <w:ind w:firstLine="0"/>
              <w:jc w:val="left"/>
              <w:rPr>
                <w:rFonts w:ascii="Arial Narrow" w:hAnsi="Arial Narrow" w:cs="Arial"/>
                <w:bCs/>
                <w:lang w:val="es-ES" w:eastAsia="es-ES"/>
              </w:rPr>
            </w:pPr>
            <w:r w:rsidRPr="00C33E41">
              <w:rPr>
                <w:rFonts w:ascii="Arial Narrow" w:hAnsi="Arial Narrow" w:cs="Arial"/>
                <w:bCs/>
                <w:lang w:val="es-ES" w:eastAsia="es-ES"/>
              </w:rPr>
              <w:t>2020-2029</w:t>
            </w:r>
          </w:p>
        </w:tc>
        <w:tc>
          <w:tcPr>
            <w:tcW w:w="990" w:type="pct"/>
            <w:tcBorders>
              <w:top w:val="single" w:sz="2" w:space="0" w:color="auto"/>
              <w:left w:val="nil"/>
              <w:bottom w:val="single" w:sz="4" w:space="0" w:color="auto"/>
              <w:right w:val="nil"/>
            </w:tcBorders>
            <w:shd w:val="clear" w:color="auto" w:fill="auto"/>
            <w:vAlign w:val="center"/>
          </w:tcPr>
          <w:p w:rsidR="00C35D5E" w:rsidRPr="00C33E41" w:rsidRDefault="00413E96" w:rsidP="00C33E41">
            <w:pPr>
              <w:autoSpaceDE w:val="0"/>
              <w:autoSpaceDN w:val="0"/>
              <w:adjustRightInd w:val="0"/>
              <w:spacing w:after="0"/>
              <w:ind w:firstLine="0"/>
              <w:jc w:val="right"/>
              <w:rPr>
                <w:rFonts w:ascii="Arial Narrow" w:hAnsi="Arial Narrow" w:cs="Arial"/>
                <w:bCs/>
                <w:lang w:val="es-ES" w:eastAsia="es-ES"/>
              </w:rPr>
            </w:pPr>
            <w:r w:rsidRPr="00C33E41">
              <w:rPr>
                <w:rFonts w:ascii="Arial Narrow" w:hAnsi="Arial Narrow" w:cs="Arial"/>
                <w:bCs/>
                <w:lang w:val="es-ES" w:eastAsia="es-ES"/>
              </w:rPr>
              <w:t>-14,1</w:t>
            </w:r>
          </w:p>
        </w:tc>
        <w:tc>
          <w:tcPr>
            <w:tcW w:w="1028" w:type="pct"/>
            <w:tcBorders>
              <w:top w:val="single" w:sz="2" w:space="0" w:color="auto"/>
              <w:left w:val="nil"/>
              <w:bottom w:val="single" w:sz="4" w:space="0" w:color="auto"/>
              <w:right w:val="nil"/>
            </w:tcBorders>
            <w:shd w:val="clear" w:color="auto" w:fill="auto"/>
            <w:vAlign w:val="center"/>
          </w:tcPr>
          <w:p w:rsidR="00C35D5E" w:rsidRPr="00C33E41" w:rsidRDefault="00413E96" w:rsidP="005A423F">
            <w:pPr>
              <w:autoSpaceDE w:val="0"/>
              <w:autoSpaceDN w:val="0"/>
              <w:adjustRightInd w:val="0"/>
              <w:spacing w:after="0"/>
              <w:ind w:firstLine="0"/>
              <w:jc w:val="right"/>
              <w:rPr>
                <w:rFonts w:ascii="Arial Narrow" w:hAnsi="Arial Narrow" w:cs="Arial"/>
                <w:bCs/>
                <w:lang w:val="es-ES" w:eastAsia="es-ES"/>
              </w:rPr>
            </w:pPr>
            <w:r w:rsidRPr="00C33E41">
              <w:rPr>
                <w:rFonts w:ascii="Arial Narrow" w:hAnsi="Arial Narrow" w:cs="Arial"/>
                <w:bCs/>
                <w:lang w:val="es-ES" w:eastAsia="es-ES"/>
              </w:rPr>
              <w:t>1,</w:t>
            </w:r>
            <w:r w:rsidR="005A423F">
              <w:rPr>
                <w:rFonts w:ascii="Arial Narrow" w:hAnsi="Arial Narrow" w:cs="Arial"/>
                <w:bCs/>
                <w:lang w:val="es-ES" w:eastAsia="es-ES"/>
              </w:rPr>
              <w:t>4</w:t>
            </w:r>
          </w:p>
        </w:tc>
        <w:tc>
          <w:tcPr>
            <w:tcW w:w="1074" w:type="pct"/>
            <w:tcBorders>
              <w:top w:val="single" w:sz="2" w:space="0" w:color="auto"/>
              <w:left w:val="nil"/>
              <w:bottom w:val="single" w:sz="4" w:space="0" w:color="auto"/>
              <w:right w:val="nil"/>
            </w:tcBorders>
            <w:shd w:val="clear" w:color="auto" w:fill="auto"/>
            <w:vAlign w:val="center"/>
          </w:tcPr>
          <w:p w:rsidR="00C35D5E" w:rsidRPr="00C33E41" w:rsidRDefault="00413E96" w:rsidP="00C33E41">
            <w:pPr>
              <w:autoSpaceDE w:val="0"/>
              <w:autoSpaceDN w:val="0"/>
              <w:adjustRightInd w:val="0"/>
              <w:spacing w:after="0"/>
              <w:ind w:firstLine="0"/>
              <w:jc w:val="right"/>
              <w:rPr>
                <w:rFonts w:ascii="Arial Narrow" w:hAnsi="Arial Narrow" w:cs="Arial"/>
                <w:bCs/>
                <w:lang w:val="es-ES" w:eastAsia="es-ES"/>
              </w:rPr>
            </w:pPr>
            <w:r w:rsidRPr="00C33E41">
              <w:rPr>
                <w:rFonts w:ascii="Arial Narrow" w:hAnsi="Arial Narrow" w:cs="Arial"/>
                <w:bCs/>
                <w:lang w:val="es-ES" w:eastAsia="es-ES"/>
              </w:rPr>
              <w:t>-17,1</w:t>
            </w:r>
          </w:p>
        </w:tc>
        <w:tc>
          <w:tcPr>
            <w:tcW w:w="1248" w:type="pct"/>
            <w:tcBorders>
              <w:top w:val="single" w:sz="2" w:space="0" w:color="auto"/>
              <w:left w:val="nil"/>
              <w:bottom w:val="single" w:sz="4" w:space="0" w:color="auto"/>
              <w:right w:val="nil"/>
            </w:tcBorders>
            <w:shd w:val="clear" w:color="auto" w:fill="auto"/>
            <w:vAlign w:val="center"/>
          </w:tcPr>
          <w:p w:rsidR="00C35D5E" w:rsidRPr="00C33E41" w:rsidRDefault="00413E96" w:rsidP="00C33E41">
            <w:pPr>
              <w:autoSpaceDE w:val="0"/>
              <w:autoSpaceDN w:val="0"/>
              <w:adjustRightInd w:val="0"/>
              <w:spacing w:after="0"/>
              <w:ind w:firstLine="0"/>
              <w:jc w:val="right"/>
              <w:rPr>
                <w:rFonts w:ascii="Arial Narrow" w:hAnsi="Arial Narrow" w:cs="Arial"/>
                <w:bCs/>
                <w:lang w:val="es-ES" w:eastAsia="es-ES"/>
              </w:rPr>
            </w:pPr>
            <w:r w:rsidRPr="00C33E41">
              <w:rPr>
                <w:rFonts w:ascii="Arial Narrow" w:hAnsi="Arial Narrow" w:cs="Arial"/>
                <w:bCs/>
                <w:lang w:val="es-ES" w:eastAsia="es-ES"/>
              </w:rPr>
              <w:t>49,8</w:t>
            </w:r>
          </w:p>
        </w:tc>
      </w:tr>
      <w:tr w:rsidR="00C35D5E" w:rsidRPr="00413E96" w:rsidTr="00C33E41">
        <w:trPr>
          <w:trHeight w:val="255"/>
        </w:trPr>
        <w:tc>
          <w:tcPr>
            <w:tcW w:w="660" w:type="pct"/>
            <w:tcBorders>
              <w:top w:val="single" w:sz="4" w:space="0" w:color="auto"/>
              <w:left w:val="nil"/>
              <w:bottom w:val="single" w:sz="4" w:space="0" w:color="auto"/>
              <w:right w:val="nil"/>
            </w:tcBorders>
            <w:shd w:val="clear" w:color="auto" w:fill="8DB3E2"/>
            <w:vAlign w:val="center"/>
          </w:tcPr>
          <w:p w:rsidR="00C35D5E" w:rsidRPr="00C33E41" w:rsidRDefault="00413E96" w:rsidP="00C33E41">
            <w:pPr>
              <w:autoSpaceDE w:val="0"/>
              <w:autoSpaceDN w:val="0"/>
              <w:adjustRightInd w:val="0"/>
              <w:spacing w:after="0"/>
              <w:ind w:firstLine="0"/>
              <w:jc w:val="left"/>
              <w:rPr>
                <w:rFonts w:ascii="Arial" w:hAnsi="Arial" w:cs="Arial"/>
                <w:sz w:val="18"/>
                <w:lang w:val="es-ES" w:eastAsia="es-ES"/>
              </w:rPr>
            </w:pPr>
            <w:r w:rsidRPr="00C33E41">
              <w:rPr>
                <w:rFonts w:ascii="Arial" w:hAnsi="Arial" w:cs="Arial"/>
                <w:sz w:val="18"/>
                <w:lang w:val="es-ES" w:eastAsia="es-ES"/>
              </w:rPr>
              <w:t xml:space="preserve">% </w:t>
            </w:r>
            <w:proofErr w:type="spellStart"/>
            <w:r w:rsidRPr="00C33E41">
              <w:rPr>
                <w:rFonts w:ascii="Arial" w:hAnsi="Arial" w:cs="Arial"/>
                <w:sz w:val="18"/>
                <w:lang w:val="es-ES" w:eastAsia="es-ES"/>
              </w:rPr>
              <w:t>var</w:t>
            </w:r>
            <w:proofErr w:type="spellEnd"/>
            <w:r w:rsidRPr="00C33E41">
              <w:rPr>
                <w:rFonts w:ascii="Arial" w:hAnsi="Arial" w:cs="Arial"/>
                <w:sz w:val="18"/>
                <w:lang w:val="es-ES" w:eastAsia="es-ES"/>
              </w:rPr>
              <w:t>. total</w:t>
            </w:r>
          </w:p>
        </w:tc>
        <w:tc>
          <w:tcPr>
            <w:tcW w:w="990" w:type="pct"/>
            <w:tcBorders>
              <w:top w:val="single" w:sz="4" w:space="0" w:color="auto"/>
              <w:left w:val="nil"/>
              <w:bottom w:val="single" w:sz="4" w:space="0" w:color="auto"/>
              <w:right w:val="nil"/>
            </w:tcBorders>
            <w:shd w:val="clear" w:color="auto" w:fill="8DB3E2"/>
            <w:vAlign w:val="center"/>
          </w:tcPr>
          <w:p w:rsidR="00C35D5E" w:rsidRPr="00C33E41" w:rsidRDefault="00413E96" w:rsidP="00413E96">
            <w:pPr>
              <w:autoSpaceDE w:val="0"/>
              <w:autoSpaceDN w:val="0"/>
              <w:adjustRightInd w:val="0"/>
              <w:spacing w:after="0"/>
              <w:ind w:firstLine="0"/>
              <w:jc w:val="right"/>
              <w:rPr>
                <w:rFonts w:ascii="Arial" w:hAnsi="Arial" w:cs="Arial"/>
                <w:bCs/>
                <w:sz w:val="18"/>
                <w:lang w:val="es-ES" w:eastAsia="es-ES"/>
              </w:rPr>
            </w:pPr>
            <w:r w:rsidRPr="00C33E41">
              <w:rPr>
                <w:rFonts w:ascii="Arial" w:hAnsi="Arial" w:cs="Arial"/>
                <w:bCs/>
                <w:sz w:val="18"/>
                <w:lang w:val="es-ES" w:eastAsia="es-ES"/>
              </w:rPr>
              <w:t>-8,4</w:t>
            </w:r>
          </w:p>
        </w:tc>
        <w:tc>
          <w:tcPr>
            <w:tcW w:w="1028" w:type="pct"/>
            <w:tcBorders>
              <w:top w:val="single" w:sz="4" w:space="0" w:color="auto"/>
              <w:left w:val="nil"/>
              <w:bottom w:val="single" w:sz="4" w:space="0" w:color="auto"/>
              <w:right w:val="nil"/>
            </w:tcBorders>
            <w:shd w:val="clear" w:color="auto" w:fill="8DB3E2"/>
            <w:vAlign w:val="center"/>
          </w:tcPr>
          <w:p w:rsidR="00C35D5E" w:rsidRPr="00C33E41" w:rsidRDefault="005A423F" w:rsidP="00413E96">
            <w:pPr>
              <w:autoSpaceDE w:val="0"/>
              <w:autoSpaceDN w:val="0"/>
              <w:adjustRightInd w:val="0"/>
              <w:spacing w:after="0"/>
              <w:ind w:firstLine="0"/>
              <w:jc w:val="right"/>
              <w:rPr>
                <w:rFonts w:ascii="Arial" w:hAnsi="Arial" w:cs="Arial"/>
                <w:bCs/>
                <w:sz w:val="18"/>
                <w:lang w:val="es-ES" w:eastAsia="es-ES"/>
              </w:rPr>
            </w:pPr>
            <w:r>
              <w:rPr>
                <w:rFonts w:ascii="Arial" w:hAnsi="Arial" w:cs="Arial"/>
                <w:bCs/>
                <w:sz w:val="18"/>
                <w:lang w:val="es-ES" w:eastAsia="es-ES"/>
              </w:rPr>
              <w:t>5,8</w:t>
            </w:r>
          </w:p>
        </w:tc>
        <w:tc>
          <w:tcPr>
            <w:tcW w:w="1074" w:type="pct"/>
            <w:tcBorders>
              <w:top w:val="single" w:sz="4" w:space="0" w:color="auto"/>
              <w:left w:val="nil"/>
              <w:bottom w:val="single" w:sz="4" w:space="0" w:color="auto"/>
              <w:right w:val="nil"/>
            </w:tcBorders>
            <w:shd w:val="clear" w:color="auto" w:fill="8DB3E2"/>
            <w:vAlign w:val="center"/>
          </w:tcPr>
          <w:p w:rsidR="00C35D5E" w:rsidRPr="00C33E41" w:rsidRDefault="00413E96" w:rsidP="00413E96">
            <w:pPr>
              <w:autoSpaceDE w:val="0"/>
              <w:autoSpaceDN w:val="0"/>
              <w:adjustRightInd w:val="0"/>
              <w:spacing w:after="0"/>
              <w:ind w:firstLine="0"/>
              <w:jc w:val="right"/>
              <w:rPr>
                <w:rFonts w:ascii="Arial" w:hAnsi="Arial" w:cs="Arial"/>
                <w:bCs/>
                <w:sz w:val="18"/>
                <w:lang w:val="es-ES" w:eastAsia="es-ES"/>
              </w:rPr>
            </w:pPr>
            <w:r w:rsidRPr="00C33E41">
              <w:rPr>
                <w:rFonts w:ascii="Arial" w:hAnsi="Arial" w:cs="Arial"/>
                <w:bCs/>
                <w:sz w:val="18"/>
                <w:lang w:val="es-ES" w:eastAsia="es-ES"/>
              </w:rPr>
              <w:t>-11,7</w:t>
            </w:r>
          </w:p>
        </w:tc>
        <w:tc>
          <w:tcPr>
            <w:tcW w:w="1248" w:type="pct"/>
            <w:tcBorders>
              <w:top w:val="single" w:sz="4" w:space="0" w:color="auto"/>
              <w:left w:val="nil"/>
              <w:bottom w:val="single" w:sz="4" w:space="0" w:color="auto"/>
              <w:right w:val="nil"/>
            </w:tcBorders>
            <w:shd w:val="clear" w:color="auto" w:fill="8DB3E2"/>
            <w:vAlign w:val="center"/>
          </w:tcPr>
          <w:p w:rsidR="00C35D5E" w:rsidRPr="00C33E41" w:rsidRDefault="00413E96" w:rsidP="00413E96">
            <w:pPr>
              <w:autoSpaceDE w:val="0"/>
              <w:autoSpaceDN w:val="0"/>
              <w:adjustRightInd w:val="0"/>
              <w:spacing w:after="0"/>
              <w:ind w:firstLine="0"/>
              <w:jc w:val="right"/>
              <w:rPr>
                <w:rFonts w:ascii="Arial" w:hAnsi="Arial" w:cs="Arial"/>
                <w:bCs/>
                <w:sz w:val="18"/>
                <w:lang w:val="es-ES" w:eastAsia="es-ES"/>
              </w:rPr>
            </w:pPr>
            <w:r w:rsidRPr="00C33E41">
              <w:rPr>
                <w:rFonts w:ascii="Arial" w:hAnsi="Arial" w:cs="Arial"/>
                <w:bCs/>
                <w:sz w:val="18"/>
                <w:lang w:val="es-ES" w:eastAsia="es-ES"/>
              </w:rPr>
              <w:t>88,2</w:t>
            </w:r>
          </w:p>
        </w:tc>
      </w:tr>
    </w:tbl>
    <w:p w:rsidR="006B242C" w:rsidRDefault="00413E96" w:rsidP="00413E96">
      <w:pPr>
        <w:pStyle w:val="texto"/>
        <w:tabs>
          <w:tab w:val="clear" w:pos="2835"/>
          <w:tab w:val="clear" w:pos="3969"/>
          <w:tab w:val="clear" w:pos="5103"/>
          <w:tab w:val="clear" w:pos="6237"/>
          <w:tab w:val="clear" w:pos="7371"/>
          <w:tab w:val="left" w:pos="567"/>
        </w:tabs>
        <w:spacing w:before="240" w:after="240"/>
        <w:rPr>
          <w:szCs w:val="26"/>
        </w:rPr>
      </w:pPr>
      <w:r>
        <w:rPr>
          <w:szCs w:val="26"/>
        </w:rPr>
        <w:t>Como se observa, la variación en el periodo 201</w:t>
      </w:r>
      <w:r w:rsidR="0013027E">
        <w:rPr>
          <w:szCs w:val="26"/>
        </w:rPr>
        <w:t>4</w:t>
      </w:r>
      <w:r>
        <w:rPr>
          <w:szCs w:val="26"/>
        </w:rPr>
        <w:t>-2019 del PEF 2020 sobre el correspondiente a 2014 antes de que se produjera la crisis sanitaria de la COVID-19 es distinta incluso en algún caso hasta el sentido (positivo o negat</w:t>
      </w:r>
      <w:r>
        <w:rPr>
          <w:szCs w:val="26"/>
        </w:rPr>
        <w:t>i</w:t>
      </w:r>
      <w:r>
        <w:rPr>
          <w:szCs w:val="26"/>
        </w:rPr>
        <w:t>vo) cambia. Así</w:t>
      </w:r>
      <w:r w:rsidR="00883DA6">
        <w:rPr>
          <w:szCs w:val="26"/>
        </w:rPr>
        <w:t>,</w:t>
      </w:r>
      <w:r>
        <w:rPr>
          <w:szCs w:val="26"/>
        </w:rPr>
        <w:t xml:space="preserve"> por ejemplo, en el caso de la compensación a </w:t>
      </w:r>
      <w:proofErr w:type="spellStart"/>
      <w:r>
        <w:rPr>
          <w:szCs w:val="26"/>
        </w:rPr>
        <w:t>Audenasa</w:t>
      </w:r>
      <w:proofErr w:type="spellEnd"/>
      <w:r>
        <w:rPr>
          <w:szCs w:val="26"/>
        </w:rPr>
        <w:t xml:space="preserve">, en el periodo </w:t>
      </w:r>
      <w:r w:rsidR="0013027E">
        <w:rPr>
          <w:szCs w:val="26"/>
        </w:rPr>
        <w:t>2014</w:t>
      </w:r>
      <w:r>
        <w:rPr>
          <w:szCs w:val="26"/>
        </w:rPr>
        <w:t>-2019 aumenta un 15 por ciento respecto al PEF 2014 ya que se superaron las previsiones de tráfico, mientras que para el periodo 2020-2029 este incremento es tan s</w:t>
      </w:r>
      <w:r w:rsidR="005A423F">
        <w:rPr>
          <w:szCs w:val="26"/>
        </w:rPr>
        <w:t>olo del 1,4</w:t>
      </w:r>
      <w:r>
        <w:rPr>
          <w:szCs w:val="26"/>
        </w:rPr>
        <w:t xml:space="preserve"> por ciento.</w:t>
      </w:r>
    </w:p>
    <w:p w:rsidR="00EF0BDF" w:rsidRDefault="00D22CC5" w:rsidP="00EF0BDF">
      <w:pPr>
        <w:pStyle w:val="texto"/>
        <w:ind w:firstLine="0"/>
        <w:rPr>
          <w:rFonts w:ascii="Arial" w:hAnsi="Arial"/>
          <w:i/>
          <w:iCs/>
          <w:color w:val="000000"/>
          <w:spacing w:val="10"/>
          <w:kern w:val="28"/>
          <w:sz w:val="25"/>
          <w:szCs w:val="26"/>
        </w:rPr>
      </w:pPr>
      <w:r>
        <w:rPr>
          <w:rFonts w:ascii="Arial" w:hAnsi="Arial"/>
          <w:i/>
          <w:iCs/>
          <w:color w:val="000000"/>
          <w:spacing w:val="10"/>
          <w:kern w:val="28"/>
          <w:sz w:val="25"/>
          <w:szCs w:val="26"/>
        </w:rPr>
        <w:t>C</w:t>
      </w:r>
      <w:r w:rsidR="00EF0BDF">
        <w:rPr>
          <w:rFonts w:ascii="Arial" w:hAnsi="Arial"/>
          <w:i/>
          <w:iCs/>
          <w:color w:val="000000"/>
          <w:spacing w:val="10"/>
          <w:kern w:val="28"/>
          <w:sz w:val="25"/>
          <w:szCs w:val="26"/>
        </w:rPr>
        <w:t xml:space="preserve">ompensación de descuentos a </w:t>
      </w:r>
      <w:proofErr w:type="spellStart"/>
      <w:r w:rsidR="00EF0BDF">
        <w:rPr>
          <w:rFonts w:ascii="Arial" w:hAnsi="Arial"/>
          <w:i/>
          <w:iCs/>
          <w:color w:val="000000"/>
          <w:spacing w:val="10"/>
          <w:kern w:val="28"/>
          <w:sz w:val="25"/>
          <w:szCs w:val="26"/>
        </w:rPr>
        <w:t>Audenasa</w:t>
      </w:r>
      <w:proofErr w:type="spellEnd"/>
      <w:r w:rsidR="00EF0BDF">
        <w:rPr>
          <w:rFonts w:ascii="Arial" w:hAnsi="Arial"/>
          <w:i/>
          <w:iCs/>
          <w:color w:val="000000"/>
          <w:spacing w:val="10"/>
          <w:kern w:val="28"/>
          <w:sz w:val="25"/>
          <w:szCs w:val="26"/>
        </w:rPr>
        <w:t xml:space="preserve"> en 2020</w:t>
      </w:r>
    </w:p>
    <w:p w:rsidR="00572AE1" w:rsidRDefault="00572AE1" w:rsidP="006C4DAC">
      <w:pPr>
        <w:pStyle w:val="texto"/>
        <w:rPr>
          <w:szCs w:val="26"/>
        </w:rPr>
      </w:pPr>
      <w:r>
        <w:rPr>
          <w:szCs w:val="26"/>
        </w:rPr>
        <w:t>En la presentación de las facturas de enero y febrero de 2020 se aplicó la fórmula indicada con una compensación</w:t>
      </w:r>
      <w:r w:rsidR="00883DA6">
        <w:rPr>
          <w:szCs w:val="26"/>
        </w:rPr>
        <w:t xml:space="preserve"> provisional</w:t>
      </w:r>
      <w:r>
        <w:rPr>
          <w:szCs w:val="26"/>
        </w:rPr>
        <w:t xml:space="preserve"> por descuentos a </w:t>
      </w:r>
      <w:proofErr w:type="spellStart"/>
      <w:r>
        <w:rPr>
          <w:szCs w:val="26"/>
        </w:rPr>
        <w:t>Audenasa</w:t>
      </w:r>
      <w:proofErr w:type="spellEnd"/>
      <w:r>
        <w:rPr>
          <w:szCs w:val="26"/>
        </w:rPr>
        <w:t xml:space="preserve"> de</w:t>
      </w:r>
      <w:r w:rsidR="00CE20A2">
        <w:rPr>
          <w:szCs w:val="26"/>
        </w:rPr>
        <w:t xml:space="preserve"> 2,55 millones.</w:t>
      </w:r>
    </w:p>
    <w:p w:rsidR="00572AE1" w:rsidRDefault="005629C8" w:rsidP="00572AE1">
      <w:pPr>
        <w:pStyle w:val="texto"/>
        <w:spacing w:after="240"/>
        <w:rPr>
          <w:szCs w:val="26"/>
        </w:rPr>
      </w:pPr>
      <w:r>
        <w:rPr>
          <w:szCs w:val="26"/>
        </w:rPr>
        <w:t>En el periodo marzo-junio</w:t>
      </w:r>
      <w:r w:rsidR="00DE762E" w:rsidRPr="003A6595">
        <w:rPr>
          <w:szCs w:val="26"/>
        </w:rPr>
        <w:t xml:space="preserve"> de 2020</w:t>
      </w:r>
      <w:r w:rsidR="00DE762E">
        <w:rPr>
          <w:szCs w:val="26"/>
        </w:rPr>
        <w:t>, tras la calificación como pandemia i</w:t>
      </w:r>
      <w:r w:rsidR="00DE762E">
        <w:rPr>
          <w:szCs w:val="26"/>
        </w:rPr>
        <w:t>n</w:t>
      </w:r>
      <w:r w:rsidR="00DE762E">
        <w:rPr>
          <w:szCs w:val="26"/>
        </w:rPr>
        <w:t>ternacional la situación de emergencia de salud pública ocasionada por la C</w:t>
      </w:r>
      <w:r w:rsidR="00DE762E">
        <w:rPr>
          <w:szCs w:val="26"/>
        </w:rPr>
        <w:t>O</w:t>
      </w:r>
      <w:r w:rsidR="00DE762E">
        <w:rPr>
          <w:szCs w:val="26"/>
        </w:rPr>
        <w:t xml:space="preserve">VID-19 y las medidas de restricción sobre la movilidad, se produjo una caída muy significativa en el tráfico </w:t>
      </w:r>
      <w:r w:rsidR="00572AE1">
        <w:rPr>
          <w:szCs w:val="26"/>
        </w:rPr>
        <w:t xml:space="preserve">frente </w:t>
      </w:r>
      <w:r w:rsidR="002F5AF1">
        <w:rPr>
          <w:szCs w:val="26"/>
        </w:rPr>
        <w:t>a los mismos meses de</w:t>
      </w:r>
      <w:r w:rsidR="00572AE1">
        <w:rPr>
          <w:szCs w:val="26"/>
        </w:rPr>
        <w:t xml:space="preserve"> 2019 (dato utiliz</w:t>
      </w:r>
      <w:r w:rsidR="00572AE1">
        <w:rPr>
          <w:szCs w:val="26"/>
        </w:rPr>
        <w:t>a</w:t>
      </w:r>
      <w:r w:rsidR="00572AE1">
        <w:rPr>
          <w:szCs w:val="26"/>
        </w:rPr>
        <w:t>do en la aplicación de la fórmula) tal y como se muestra a continuación:</w:t>
      </w:r>
    </w:p>
    <w:tbl>
      <w:tblPr>
        <w:tblStyle w:val="Tablaconcuadrcul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845"/>
        <w:gridCol w:w="1540"/>
        <w:gridCol w:w="1540"/>
        <w:gridCol w:w="1540"/>
        <w:gridCol w:w="1540"/>
      </w:tblGrid>
      <w:tr w:rsidR="00C33E41" w:rsidRPr="00C33E41" w:rsidTr="00C33E41">
        <w:trPr>
          <w:trHeight w:val="255"/>
        </w:trPr>
        <w:tc>
          <w:tcPr>
            <w:tcW w:w="1580" w:type="pct"/>
            <w:tcBorders>
              <w:bottom w:val="single" w:sz="4" w:space="0" w:color="auto"/>
            </w:tcBorders>
            <w:shd w:val="clear" w:color="auto" w:fill="8DB3E2"/>
            <w:vAlign w:val="center"/>
          </w:tcPr>
          <w:p w:rsidR="00572AE1" w:rsidRPr="00C33E41" w:rsidRDefault="00572AE1" w:rsidP="00C33E41">
            <w:pPr>
              <w:pStyle w:val="texto"/>
              <w:spacing w:after="0"/>
              <w:ind w:firstLine="0"/>
              <w:jc w:val="left"/>
              <w:rPr>
                <w:rFonts w:ascii="Arial" w:hAnsi="Arial" w:cs="Arial"/>
                <w:sz w:val="18"/>
                <w:szCs w:val="18"/>
              </w:rPr>
            </w:pPr>
          </w:p>
        </w:tc>
        <w:tc>
          <w:tcPr>
            <w:tcW w:w="855" w:type="pct"/>
            <w:tcBorders>
              <w:bottom w:val="single" w:sz="4" w:space="0" w:color="auto"/>
            </w:tcBorders>
            <w:shd w:val="clear" w:color="auto" w:fill="8DB3E2"/>
            <w:vAlign w:val="center"/>
          </w:tcPr>
          <w:p w:rsidR="00572AE1" w:rsidRPr="00C33E41" w:rsidRDefault="00572AE1" w:rsidP="00C33E41">
            <w:pPr>
              <w:pStyle w:val="texto"/>
              <w:spacing w:after="0"/>
              <w:ind w:firstLine="0"/>
              <w:jc w:val="right"/>
              <w:rPr>
                <w:rFonts w:ascii="Arial" w:hAnsi="Arial" w:cs="Arial"/>
                <w:sz w:val="18"/>
                <w:szCs w:val="18"/>
              </w:rPr>
            </w:pPr>
            <w:r w:rsidRPr="00C33E41">
              <w:rPr>
                <w:rFonts w:ascii="Arial" w:hAnsi="Arial" w:cs="Arial"/>
                <w:sz w:val="18"/>
                <w:szCs w:val="18"/>
              </w:rPr>
              <w:t>Marzo</w:t>
            </w:r>
          </w:p>
        </w:tc>
        <w:tc>
          <w:tcPr>
            <w:tcW w:w="855" w:type="pct"/>
            <w:tcBorders>
              <w:bottom w:val="single" w:sz="4" w:space="0" w:color="auto"/>
            </w:tcBorders>
            <w:shd w:val="clear" w:color="auto" w:fill="8DB3E2"/>
            <w:vAlign w:val="center"/>
          </w:tcPr>
          <w:p w:rsidR="00572AE1" w:rsidRPr="00C33E41" w:rsidRDefault="00572AE1" w:rsidP="00C33E41">
            <w:pPr>
              <w:pStyle w:val="texto"/>
              <w:spacing w:after="0"/>
              <w:ind w:firstLine="0"/>
              <w:jc w:val="right"/>
              <w:rPr>
                <w:rFonts w:ascii="Arial" w:hAnsi="Arial" w:cs="Arial"/>
                <w:sz w:val="18"/>
                <w:szCs w:val="18"/>
              </w:rPr>
            </w:pPr>
            <w:r w:rsidRPr="00C33E41">
              <w:rPr>
                <w:rFonts w:ascii="Arial" w:hAnsi="Arial" w:cs="Arial"/>
                <w:sz w:val="18"/>
                <w:szCs w:val="18"/>
              </w:rPr>
              <w:t>Abril</w:t>
            </w:r>
          </w:p>
        </w:tc>
        <w:tc>
          <w:tcPr>
            <w:tcW w:w="855" w:type="pct"/>
            <w:tcBorders>
              <w:bottom w:val="single" w:sz="4" w:space="0" w:color="auto"/>
            </w:tcBorders>
            <w:shd w:val="clear" w:color="auto" w:fill="8DB3E2"/>
            <w:vAlign w:val="center"/>
          </w:tcPr>
          <w:p w:rsidR="00572AE1" w:rsidRPr="00C33E41" w:rsidRDefault="00572AE1" w:rsidP="00C33E41">
            <w:pPr>
              <w:pStyle w:val="texto"/>
              <w:spacing w:after="0"/>
              <w:ind w:firstLine="0"/>
              <w:jc w:val="right"/>
              <w:rPr>
                <w:rFonts w:ascii="Arial" w:hAnsi="Arial" w:cs="Arial"/>
                <w:sz w:val="18"/>
                <w:szCs w:val="18"/>
              </w:rPr>
            </w:pPr>
            <w:r w:rsidRPr="00C33E41">
              <w:rPr>
                <w:rFonts w:ascii="Arial" w:hAnsi="Arial" w:cs="Arial"/>
                <w:sz w:val="18"/>
                <w:szCs w:val="18"/>
              </w:rPr>
              <w:t>Mayo</w:t>
            </w:r>
          </w:p>
        </w:tc>
        <w:tc>
          <w:tcPr>
            <w:tcW w:w="855" w:type="pct"/>
            <w:tcBorders>
              <w:bottom w:val="single" w:sz="4" w:space="0" w:color="auto"/>
            </w:tcBorders>
            <w:shd w:val="clear" w:color="auto" w:fill="8DB3E2"/>
            <w:vAlign w:val="center"/>
          </w:tcPr>
          <w:p w:rsidR="00572AE1" w:rsidRPr="00C33E41" w:rsidRDefault="00572AE1" w:rsidP="00C33E41">
            <w:pPr>
              <w:pStyle w:val="texto"/>
              <w:spacing w:after="0"/>
              <w:ind w:firstLine="0"/>
              <w:jc w:val="right"/>
              <w:rPr>
                <w:rFonts w:ascii="Arial" w:hAnsi="Arial" w:cs="Arial"/>
                <w:sz w:val="18"/>
                <w:szCs w:val="18"/>
              </w:rPr>
            </w:pPr>
            <w:r w:rsidRPr="00C33E41">
              <w:rPr>
                <w:rFonts w:ascii="Arial" w:hAnsi="Arial" w:cs="Arial"/>
                <w:sz w:val="18"/>
                <w:szCs w:val="18"/>
              </w:rPr>
              <w:t>Junio</w:t>
            </w:r>
          </w:p>
        </w:tc>
      </w:tr>
      <w:tr w:rsidR="00572AE1" w:rsidRPr="00C33E41" w:rsidTr="00C33E41">
        <w:trPr>
          <w:trHeight w:val="198"/>
        </w:trPr>
        <w:tc>
          <w:tcPr>
            <w:tcW w:w="1580" w:type="pct"/>
            <w:tcBorders>
              <w:top w:val="single" w:sz="4" w:space="0" w:color="auto"/>
              <w:bottom w:val="single" w:sz="4" w:space="0" w:color="auto"/>
            </w:tcBorders>
            <w:shd w:val="clear" w:color="auto" w:fill="auto"/>
            <w:vAlign w:val="center"/>
          </w:tcPr>
          <w:p w:rsidR="00572AE1" w:rsidRPr="00C33E41" w:rsidRDefault="00572AE1" w:rsidP="00C33E41">
            <w:pPr>
              <w:pStyle w:val="texto"/>
              <w:spacing w:after="0"/>
              <w:ind w:firstLine="0"/>
              <w:jc w:val="left"/>
              <w:rPr>
                <w:rFonts w:ascii="Arial Narrow" w:hAnsi="Arial Narrow"/>
                <w:sz w:val="20"/>
                <w:szCs w:val="20"/>
              </w:rPr>
            </w:pPr>
            <w:r w:rsidRPr="00C33E41">
              <w:rPr>
                <w:rFonts w:ascii="Arial Narrow" w:hAnsi="Arial Narrow"/>
                <w:sz w:val="20"/>
                <w:szCs w:val="20"/>
              </w:rPr>
              <w:t xml:space="preserve">% </w:t>
            </w:r>
            <w:r w:rsidR="00FC0AED" w:rsidRPr="00C33E41">
              <w:rPr>
                <w:rFonts w:ascii="Arial Narrow" w:hAnsi="Arial Narrow"/>
                <w:sz w:val="20"/>
                <w:szCs w:val="20"/>
              </w:rPr>
              <w:t>variación</w:t>
            </w:r>
            <w:r w:rsidRPr="00C33E41">
              <w:rPr>
                <w:rFonts w:ascii="Arial Narrow" w:hAnsi="Arial Narrow"/>
                <w:sz w:val="20"/>
                <w:szCs w:val="20"/>
              </w:rPr>
              <w:t xml:space="preserve"> frente mes 2019</w:t>
            </w:r>
          </w:p>
        </w:tc>
        <w:tc>
          <w:tcPr>
            <w:tcW w:w="855" w:type="pct"/>
            <w:tcBorders>
              <w:top w:val="single" w:sz="4" w:space="0" w:color="auto"/>
              <w:bottom w:val="single" w:sz="4" w:space="0" w:color="auto"/>
            </w:tcBorders>
            <w:shd w:val="clear" w:color="auto" w:fill="auto"/>
            <w:vAlign w:val="center"/>
          </w:tcPr>
          <w:p w:rsidR="00572AE1" w:rsidRPr="00C33E41" w:rsidRDefault="00FC0AED" w:rsidP="00C33E41">
            <w:pPr>
              <w:pStyle w:val="texto"/>
              <w:spacing w:after="0"/>
              <w:ind w:firstLine="0"/>
              <w:jc w:val="right"/>
              <w:rPr>
                <w:rFonts w:ascii="Arial Narrow" w:hAnsi="Arial Narrow"/>
                <w:sz w:val="20"/>
                <w:szCs w:val="20"/>
              </w:rPr>
            </w:pPr>
            <w:r w:rsidRPr="00C33E41">
              <w:rPr>
                <w:rFonts w:ascii="Arial Narrow" w:hAnsi="Arial Narrow"/>
                <w:sz w:val="20"/>
                <w:szCs w:val="20"/>
              </w:rPr>
              <w:t>-</w:t>
            </w:r>
            <w:r w:rsidR="00572AE1" w:rsidRPr="00C33E41">
              <w:rPr>
                <w:rFonts w:ascii="Arial Narrow" w:hAnsi="Arial Narrow"/>
                <w:sz w:val="20"/>
                <w:szCs w:val="20"/>
              </w:rPr>
              <w:t>37</w:t>
            </w:r>
          </w:p>
        </w:tc>
        <w:tc>
          <w:tcPr>
            <w:tcW w:w="855" w:type="pct"/>
            <w:tcBorders>
              <w:top w:val="single" w:sz="4" w:space="0" w:color="auto"/>
              <w:bottom w:val="single" w:sz="4" w:space="0" w:color="auto"/>
            </w:tcBorders>
            <w:shd w:val="clear" w:color="auto" w:fill="auto"/>
            <w:vAlign w:val="center"/>
          </w:tcPr>
          <w:p w:rsidR="00572AE1" w:rsidRPr="00C33E41" w:rsidRDefault="00FC0AED" w:rsidP="00C33E41">
            <w:pPr>
              <w:pStyle w:val="texto"/>
              <w:spacing w:after="0"/>
              <w:ind w:firstLine="0"/>
              <w:jc w:val="right"/>
              <w:rPr>
                <w:rFonts w:ascii="Arial Narrow" w:hAnsi="Arial Narrow"/>
                <w:sz w:val="20"/>
                <w:szCs w:val="20"/>
              </w:rPr>
            </w:pPr>
            <w:r w:rsidRPr="00C33E41">
              <w:rPr>
                <w:rFonts w:ascii="Arial Narrow" w:hAnsi="Arial Narrow"/>
                <w:sz w:val="20"/>
                <w:szCs w:val="20"/>
              </w:rPr>
              <w:t>-</w:t>
            </w:r>
            <w:r w:rsidR="00572AE1" w:rsidRPr="00C33E41">
              <w:rPr>
                <w:rFonts w:ascii="Arial Narrow" w:hAnsi="Arial Narrow"/>
                <w:sz w:val="20"/>
                <w:szCs w:val="20"/>
              </w:rPr>
              <w:t>69</w:t>
            </w:r>
          </w:p>
        </w:tc>
        <w:tc>
          <w:tcPr>
            <w:tcW w:w="855" w:type="pct"/>
            <w:tcBorders>
              <w:top w:val="single" w:sz="4" w:space="0" w:color="auto"/>
              <w:bottom w:val="single" w:sz="4" w:space="0" w:color="auto"/>
            </w:tcBorders>
            <w:shd w:val="clear" w:color="auto" w:fill="auto"/>
            <w:vAlign w:val="center"/>
          </w:tcPr>
          <w:p w:rsidR="00572AE1" w:rsidRPr="00C33E41" w:rsidRDefault="00FC0AED" w:rsidP="00C33E41">
            <w:pPr>
              <w:pStyle w:val="texto"/>
              <w:spacing w:after="0"/>
              <w:ind w:firstLine="0"/>
              <w:jc w:val="right"/>
              <w:rPr>
                <w:rFonts w:ascii="Arial Narrow" w:hAnsi="Arial Narrow"/>
                <w:sz w:val="20"/>
                <w:szCs w:val="20"/>
              </w:rPr>
            </w:pPr>
            <w:r w:rsidRPr="00C33E41">
              <w:rPr>
                <w:rFonts w:ascii="Arial Narrow" w:hAnsi="Arial Narrow"/>
                <w:sz w:val="20"/>
                <w:szCs w:val="20"/>
              </w:rPr>
              <w:t>-</w:t>
            </w:r>
            <w:r w:rsidR="00572AE1" w:rsidRPr="00C33E41">
              <w:rPr>
                <w:rFonts w:ascii="Arial Narrow" w:hAnsi="Arial Narrow"/>
                <w:sz w:val="20"/>
                <w:szCs w:val="20"/>
              </w:rPr>
              <w:t>48</w:t>
            </w:r>
          </w:p>
        </w:tc>
        <w:tc>
          <w:tcPr>
            <w:tcW w:w="855" w:type="pct"/>
            <w:tcBorders>
              <w:top w:val="single" w:sz="4" w:space="0" w:color="auto"/>
              <w:bottom w:val="single" w:sz="4" w:space="0" w:color="auto"/>
            </w:tcBorders>
            <w:shd w:val="clear" w:color="auto" w:fill="auto"/>
            <w:vAlign w:val="center"/>
          </w:tcPr>
          <w:p w:rsidR="00572AE1" w:rsidRPr="00C33E41" w:rsidRDefault="00FC0AED" w:rsidP="00C33E41">
            <w:pPr>
              <w:pStyle w:val="texto"/>
              <w:spacing w:after="0"/>
              <w:ind w:firstLine="0"/>
              <w:jc w:val="right"/>
              <w:rPr>
                <w:rFonts w:ascii="Arial Narrow" w:hAnsi="Arial Narrow"/>
                <w:sz w:val="20"/>
                <w:szCs w:val="20"/>
              </w:rPr>
            </w:pPr>
            <w:r w:rsidRPr="00C33E41">
              <w:rPr>
                <w:rFonts w:ascii="Arial Narrow" w:hAnsi="Arial Narrow"/>
                <w:sz w:val="20"/>
                <w:szCs w:val="20"/>
              </w:rPr>
              <w:t>-</w:t>
            </w:r>
            <w:r w:rsidR="00572AE1" w:rsidRPr="00C33E41">
              <w:rPr>
                <w:rFonts w:ascii="Arial Narrow" w:hAnsi="Arial Narrow"/>
                <w:sz w:val="20"/>
                <w:szCs w:val="20"/>
              </w:rPr>
              <w:t>21</w:t>
            </w:r>
          </w:p>
        </w:tc>
      </w:tr>
    </w:tbl>
    <w:p w:rsidR="00572AE1" w:rsidRDefault="00572AE1" w:rsidP="00572AE1">
      <w:pPr>
        <w:pStyle w:val="texto"/>
        <w:spacing w:before="240"/>
        <w:rPr>
          <w:szCs w:val="26"/>
        </w:rPr>
      </w:pPr>
      <w:r>
        <w:rPr>
          <w:szCs w:val="26"/>
        </w:rPr>
        <w:t>La aplicación de estos porcentajes de disminución del tráfico en la fórmula señalada</w:t>
      </w:r>
      <w:r w:rsidR="00CC6587">
        <w:rPr>
          <w:szCs w:val="26"/>
        </w:rPr>
        <w:t xml:space="preserve"> implicaba que la cantidad que tenía que abonar la</w:t>
      </w:r>
      <w:r w:rsidR="00E16110">
        <w:rPr>
          <w:szCs w:val="26"/>
        </w:rPr>
        <w:t xml:space="preserve"> ACFN a </w:t>
      </w:r>
      <w:proofErr w:type="spellStart"/>
      <w:r w:rsidR="00E16110">
        <w:rPr>
          <w:szCs w:val="26"/>
        </w:rPr>
        <w:t>Audenasa</w:t>
      </w:r>
      <w:proofErr w:type="spellEnd"/>
      <w:r w:rsidR="00E16110">
        <w:rPr>
          <w:szCs w:val="26"/>
        </w:rPr>
        <w:t xml:space="preserve"> fuera negativa, resultado ilógico si atendemos a la finalidad de lo pactado entre las partes en el convenio de 2007.</w:t>
      </w:r>
      <w:r>
        <w:rPr>
          <w:szCs w:val="26"/>
        </w:rPr>
        <w:t xml:space="preserve"> </w:t>
      </w:r>
    </w:p>
    <w:p w:rsidR="00572AE1" w:rsidRDefault="00572AE1" w:rsidP="00572AE1">
      <w:pPr>
        <w:pStyle w:val="texto"/>
        <w:spacing w:before="120"/>
        <w:rPr>
          <w:szCs w:val="26"/>
        </w:rPr>
      </w:pPr>
      <w:r>
        <w:rPr>
          <w:szCs w:val="26"/>
        </w:rPr>
        <w:t xml:space="preserve">Ante esta situación, la </w:t>
      </w:r>
      <w:r w:rsidR="00D2065A">
        <w:rPr>
          <w:szCs w:val="26"/>
        </w:rPr>
        <w:t>delegada del Gobierno de Navarra</w:t>
      </w:r>
      <w:r>
        <w:rPr>
          <w:szCs w:val="26"/>
        </w:rPr>
        <w:t xml:space="preserve"> y </w:t>
      </w:r>
      <w:proofErr w:type="spellStart"/>
      <w:r>
        <w:rPr>
          <w:szCs w:val="26"/>
        </w:rPr>
        <w:t>Audenasa</w:t>
      </w:r>
      <w:proofErr w:type="spellEnd"/>
      <w:r w:rsidR="00883DA6">
        <w:rPr>
          <w:szCs w:val="26"/>
        </w:rPr>
        <w:t>,</w:t>
      </w:r>
      <w:r>
        <w:rPr>
          <w:szCs w:val="26"/>
        </w:rPr>
        <w:t xml:space="preserve"> aco</w:t>
      </w:r>
      <w:r>
        <w:rPr>
          <w:szCs w:val="26"/>
        </w:rPr>
        <w:t>r</w:t>
      </w:r>
      <w:r>
        <w:rPr>
          <w:szCs w:val="26"/>
        </w:rPr>
        <w:t>daron suspender la facturación</w:t>
      </w:r>
      <w:r w:rsidR="00FC0AED">
        <w:rPr>
          <w:szCs w:val="26"/>
        </w:rPr>
        <w:t xml:space="preserve"> correspondiente a esos meses,</w:t>
      </w:r>
      <w:r>
        <w:rPr>
          <w:szCs w:val="26"/>
        </w:rPr>
        <w:t xml:space="preserve"> facturar únic</w:t>
      </w:r>
      <w:r>
        <w:rPr>
          <w:szCs w:val="26"/>
        </w:rPr>
        <w:t>a</w:t>
      </w:r>
      <w:r>
        <w:rPr>
          <w:szCs w:val="26"/>
        </w:rPr>
        <w:t>mente a la ACFN cuando en las liquidaciones mensuales resultaran valores p</w:t>
      </w:r>
      <w:r>
        <w:rPr>
          <w:szCs w:val="26"/>
        </w:rPr>
        <w:t>o</w:t>
      </w:r>
      <w:r>
        <w:rPr>
          <w:szCs w:val="26"/>
        </w:rPr>
        <w:lastRenderedPageBreak/>
        <w:t>sitivos</w:t>
      </w:r>
      <w:r w:rsidR="00D2065A">
        <w:rPr>
          <w:szCs w:val="26"/>
        </w:rPr>
        <w:t>,</w:t>
      </w:r>
      <w:r>
        <w:rPr>
          <w:szCs w:val="26"/>
        </w:rPr>
        <w:t xml:space="preserve"> y realizar un análisis más pormenorizado</w:t>
      </w:r>
      <w:r w:rsidR="00FC0AED">
        <w:rPr>
          <w:szCs w:val="26"/>
        </w:rPr>
        <w:t xml:space="preserve"> de la situación a final de año, que en definitiva es el dato utilizado para la liquidación anual.</w:t>
      </w:r>
    </w:p>
    <w:p w:rsidR="00127A8E" w:rsidRDefault="00572AE1" w:rsidP="00127A8E">
      <w:pPr>
        <w:pStyle w:val="texto"/>
        <w:spacing w:before="120"/>
        <w:rPr>
          <w:szCs w:val="26"/>
        </w:rPr>
      </w:pPr>
      <w:r>
        <w:rPr>
          <w:szCs w:val="26"/>
        </w:rPr>
        <w:t xml:space="preserve">Se constituyó un grupo de trabajo </w:t>
      </w:r>
      <w:r w:rsidR="00127A8E">
        <w:rPr>
          <w:szCs w:val="26"/>
        </w:rPr>
        <w:t xml:space="preserve">con la delegada del Gobierno de Navarra y personal de </w:t>
      </w:r>
      <w:proofErr w:type="spellStart"/>
      <w:r w:rsidR="00127A8E">
        <w:rPr>
          <w:szCs w:val="26"/>
        </w:rPr>
        <w:t>Audenasa</w:t>
      </w:r>
      <w:proofErr w:type="spellEnd"/>
      <w:r w:rsidR="00D2065A">
        <w:rPr>
          <w:szCs w:val="26"/>
        </w:rPr>
        <w:t xml:space="preserve">, </w:t>
      </w:r>
      <w:r w:rsidR="00127A8E">
        <w:rPr>
          <w:szCs w:val="26"/>
        </w:rPr>
        <w:t>en el que se llegó al consenso de que, dado el decreme</w:t>
      </w:r>
      <w:r w:rsidR="00127A8E">
        <w:rPr>
          <w:szCs w:val="26"/>
        </w:rPr>
        <w:t>n</w:t>
      </w:r>
      <w:r w:rsidR="00127A8E">
        <w:rPr>
          <w:szCs w:val="26"/>
        </w:rPr>
        <w:t>to del tráfico, la aplicación del coeficiente C con valor 1,65 no era adecuada</w:t>
      </w:r>
      <w:r w:rsidR="00FC0AED">
        <w:rPr>
          <w:szCs w:val="26"/>
        </w:rPr>
        <w:t>,</w:t>
      </w:r>
      <w:r w:rsidR="00127A8E">
        <w:rPr>
          <w:szCs w:val="26"/>
        </w:rPr>
        <w:t xml:space="preserve"> y</w:t>
      </w:r>
      <w:r w:rsidR="00FC0AED">
        <w:rPr>
          <w:szCs w:val="26"/>
        </w:rPr>
        <w:t xml:space="preserve"> por ello</w:t>
      </w:r>
      <w:r w:rsidR="00127A8E">
        <w:rPr>
          <w:szCs w:val="26"/>
        </w:rPr>
        <w:t xml:space="preserve"> </w:t>
      </w:r>
      <w:r w:rsidR="00FC0AED">
        <w:rPr>
          <w:szCs w:val="26"/>
        </w:rPr>
        <w:t>se proponía utilizar el valor 1 para el coeficiente C.</w:t>
      </w:r>
    </w:p>
    <w:p w:rsidR="000849DA" w:rsidRDefault="0020668F" w:rsidP="00127A8E">
      <w:pPr>
        <w:pStyle w:val="texto"/>
        <w:spacing w:before="120"/>
        <w:rPr>
          <w:szCs w:val="26"/>
        </w:rPr>
      </w:pPr>
      <w:proofErr w:type="spellStart"/>
      <w:r w:rsidRPr="0020668F">
        <w:rPr>
          <w:szCs w:val="26"/>
        </w:rPr>
        <w:t>Audenasa</w:t>
      </w:r>
      <w:proofErr w:type="spellEnd"/>
      <w:r w:rsidRPr="0020668F">
        <w:rPr>
          <w:szCs w:val="26"/>
        </w:rPr>
        <w:t xml:space="preserve"> emite factura, con fecha 30 de noviembre de 2020, en concepto de pago de la compensación correspondiente al mes de noviembre y regularización del periodo enero-octubre de 2020, en el que el</w:t>
      </w:r>
      <w:r>
        <w:rPr>
          <w:szCs w:val="26"/>
        </w:rPr>
        <w:t xml:space="preserve"> valor del</w:t>
      </w:r>
      <w:r w:rsidRPr="0020668F">
        <w:rPr>
          <w:szCs w:val="26"/>
        </w:rPr>
        <w:t xml:space="preserve"> coeficiente </w:t>
      </w:r>
      <w:r>
        <w:rPr>
          <w:szCs w:val="26"/>
        </w:rPr>
        <w:t>C es 1</w:t>
      </w:r>
      <w:r w:rsidRPr="0020668F">
        <w:rPr>
          <w:szCs w:val="26"/>
        </w:rPr>
        <w:t xml:space="preserve">, </w:t>
      </w:r>
      <w:r w:rsidR="00DA5F47" w:rsidRPr="00F71DE7">
        <w:rPr>
          <w:szCs w:val="26"/>
        </w:rPr>
        <w:t>realizando una interpreta</w:t>
      </w:r>
      <w:r w:rsidR="00DA5F47">
        <w:rPr>
          <w:szCs w:val="26"/>
        </w:rPr>
        <w:t xml:space="preserve">ción de la fórmula del convenio, </w:t>
      </w:r>
      <w:r w:rsidRPr="0020668F">
        <w:rPr>
          <w:szCs w:val="26"/>
        </w:rPr>
        <w:t xml:space="preserve">tal y como se había acordado </w:t>
      </w:r>
      <w:r w:rsidR="007B1529">
        <w:rPr>
          <w:szCs w:val="26"/>
        </w:rPr>
        <w:t>por el Consejo de Administración de esta sociedad</w:t>
      </w:r>
      <w:r w:rsidR="005E280A">
        <w:rPr>
          <w:szCs w:val="26"/>
        </w:rPr>
        <w:t xml:space="preserve"> </w:t>
      </w:r>
      <w:r w:rsidR="007B1529">
        <w:rPr>
          <w:szCs w:val="26"/>
        </w:rPr>
        <w:t xml:space="preserve">a </w:t>
      </w:r>
      <w:r w:rsidR="00E16110">
        <w:rPr>
          <w:szCs w:val="26"/>
        </w:rPr>
        <w:t>propuesta</w:t>
      </w:r>
      <w:r w:rsidR="007B1529">
        <w:rPr>
          <w:szCs w:val="26"/>
        </w:rPr>
        <w:t xml:space="preserve"> del grupo de trabajo. </w:t>
      </w:r>
    </w:p>
    <w:p w:rsidR="00127A8E" w:rsidRDefault="00127A8E" w:rsidP="00127A8E">
      <w:pPr>
        <w:pStyle w:val="texto"/>
        <w:spacing w:before="120"/>
        <w:rPr>
          <w:szCs w:val="26"/>
        </w:rPr>
      </w:pPr>
      <w:r>
        <w:rPr>
          <w:szCs w:val="26"/>
        </w:rPr>
        <w:t xml:space="preserve">Con fecha 23 de diciembre de 2020, la delegada del Gobierno de Navarra propone </w:t>
      </w:r>
      <w:r w:rsidR="00883DA6">
        <w:rPr>
          <w:szCs w:val="26"/>
        </w:rPr>
        <w:t xml:space="preserve">en un informe </w:t>
      </w:r>
      <w:r>
        <w:rPr>
          <w:szCs w:val="26"/>
        </w:rPr>
        <w:t>el abono de la factura correspondiente a noviembre de 2020 por la compensación de descuentos en peajes</w:t>
      </w:r>
      <w:r w:rsidR="004D5A35">
        <w:rPr>
          <w:szCs w:val="26"/>
        </w:rPr>
        <w:t>,</w:t>
      </w:r>
      <w:r w:rsidR="00883DA6">
        <w:rPr>
          <w:szCs w:val="26"/>
        </w:rPr>
        <w:t xml:space="preserve"> en el que motiva la aplic</w:t>
      </w:r>
      <w:r w:rsidR="00883DA6">
        <w:rPr>
          <w:szCs w:val="26"/>
        </w:rPr>
        <w:t>a</w:t>
      </w:r>
      <w:r w:rsidR="00883DA6">
        <w:rPr>
          <w:szCs w:val="26"/>
        </w:rPr>
        <w:t>ción del valor</w:t>
      </w:r>
      <w:r>
        <w:rPr>
          <w:szCs w:val="26"/>
        </w:rPr>
        <w:t xml:space="preserve"> 1</w:t>
      </w:r>
      <w:r w:rsidR="00883DA6">
        <w:rPr>
          <w:szCs w:val="26"/>
        </w:rPr>
        <w:t xml:space="preserve"> para el coeficiente C</w:t>
      </w:r>
      <w:r w:rsidR="005629C8">
        <w:rPr>
          <w:szCs w:val="26"/>
        </w:rPr>
        <w:t xml:space="preserve"> en la caída del tráfico</w:t>
      </w:r>
      <w:r>
        <w:rPr>
          <w:szCs w:val="26"/>
        </w:rPr>
        <w:t>. Esto suponía el ab</w:t>
      </w:r>
      <w:r w:rsidR="00FC0AED">
        <w:rPr>
          <w:szCs w:val="26"/>
        </w:rPr>
        <w:t xml:space="preserve">ono a </w:t>
      </w:r>
      <w:proofErr w:type="spellStart"/>
      <w:r w:rsidR="00FC0AED">
        <w:rPr>
          <w:szCs w:val="26"/>
        </w:rPr>
        <w:t>Audenasa</w:t>
      </w:r>
      <w:proofErr w:type="spellEnd"/>
      <w:r w:rsidR="00FC0AED">
        <w:rPr>
          <w:szCs w:val="26"/>
        </w:rPr>
        <w:t xml:space="preserve"> de 6,28 millones.</w:t>
      </w:r>
      <w:r w:rsidR="007B1529">
        <w:rPr>
          <w:szCs w:val="26"/>
        </w:rPr>
        <w:t xml:space="preserve"> </w:t>
      </w:r>
    </w:p>
    <w:p w:rsidR="00127A8E" w:rsidRPr="00133235" w:rsidRDefault="00127A8E" w:rsidP="00127A8E">
      <w:pPr>
        <w:pStyle w:val="texto"/>
        <w:spacing w:before="120"/>
        <w:rPr>
          <w:szCs w:val="26"/>
        </w:rPr>
      </w:pPr>
      <w:r>
        <w:rPr>
          <w:szCs w:val="26"/>
        </w:rPr>
        <w:t>El 24 de diciembre de 2020, se presenta a fiscalización un</w:t>
      </w:r>
      <w:r w:rsidRPr="00133235">
        <w:rPr>
          <w:szCs w:val="26"/>
        </w:rPr>
        <w:t>a propuesta de o</w:t>
      </w:r>
      <w:r w:rsidRPr="00133235">
        <w:rPr>
          <w:szCs w:val="26"/>
        </w:rPr>
        <w:t>r</w:t>
      </w:r>
      <w:r w:rsidRPr="00133235">
        <w:rPr>
          <w:szCs w:val="26"/>
        </w:rPr>
        <w:t xml:space="preserve">den foral de la Consejera de Economía y Hacienda por la que se ordena el pago a </w:t>
      </w:r>
      <w:proofErr w:type="spellStart"/>
      <w:r w:rsidRPr="00133235">
        <w:rPr>
          <w:szCs w:val="26"/>
        </w:rPr>
        <w:t>Audenasa</w:t>
      </w:r>
      <w:proofErr w:type="spellEnd"/>
      <w:r w:rsidRPr="00133235">
        <w:rPr>
          <w:szCs w:val="26"/>
        </w:rPr>
        <w:t xml:space="preserve"> de 6,28 millones</w:t>
      </w:r>
      <w:r w:rsidR="002F5AF1">
        <w:rPr>
          <w:szCs w:val="26"/>
        </w:rPr>
        <w:t>,</w:t>
      </w:r>
      <w:r w:rsidR="00FC0AED">
        <w:rPr>
          <w:szCs w:val="26"/>
        </w:rPr>
        <w:t xml:space="preserve"> tal y como proponía </w:t>
      </w:r>
      <w:r w:rsidRPr="00133235">
        <w:rPr>
          <w:szCs w:val="26"/>
        </w:rPr>
        <w:t>la d</w:t>
      </w:r>
      <w:r w:rsidR="00D2065A" w:rsidRPr="00133235">
        <w:rPr>
          <w:szCs w:val="26"/>
        </w:rPr>
        <w:t>elegada del Gobierno de Navarra.</w:t>
      </w:r>
    </w:p>
    <w:p w:rsidR="00127A8E" w:rsidRPr="00133235" w:rsidRDefault="00127A8E" w:rsidP="00A41F3D">
      <w:pPr>
        <w:pStyle w:val="texto"/>
        <w:spacing w:before="120"/>
        <w:rPr>
          <w:szCs w:val="26"/>
        </w:rPr>
      </w:pPr>
      <w:r w:rsidRPr="00133235">
        <w:rPr>
          <w:szCs w:val="26"/>
        </w:rPr>
        <w:t xml:space="preserve">El 30 de diciembre de 2020, </w:t>
      </w:r>
      <w:r w:rsidR="00040D64">
        <w:rPr>
          <w:szCs w:val="26"/>
        </w:rPr>
        <w:t>la Intervención General</w:t>
      </w:r>
      <w:r w:rsidR="00D2065A" w:rsidRPr="00133235">
        <w:rPr>
          <w:szCs w:val="26"/>
        </w:rPr>
        <w:t xml:space="preserve"> emite un informe de r</w:t>
      </w:r>
      <w:r w:rsidR="00D2065A" w:rsidRPr="00133235">
        <w:rPr>
          <w:szCs w:val="26"/>
        </w:rPr>
        <w:t>e</w:t>
      </w:r>
      <w:r w:rsidR="00D2065A" w:rsidRPr="00133235">
        <w:rPr>
          <w:szCs w:val="26"/>
        </w:rPr>
        <w:t xml:space="preserve">paro suspensivo frente a la propuesta de orden foral anterior por </w:t>
      </w:r>
      <w:r w:rsidR="00D2065A" w:rsidRPr="00133235">
        <w:rPr>
          <w:i/>
          <w:sz w:val="24"/>
        </w:rPr>
        <w:t>“... aplicarse un cambio de criterio en la interpretación de la fórmula que determina la Recaudación Teórica de la Concesionaria de la AP-15, sin que haya una motivación lógica y jur</w:t>
      </w:r>
      <w:r w:rsidR="00D2065A" w:rsidRPr="00133235">
        <w:rPr>
          <w:i/>
          <w:sz w:val="24"/>
        </w:rPr>
        <w:t>í</w:t>
      </w:r>
      <w:r w:rsidR="00D2065A" w:rsidRPr="00133235">
        <w:rPr>
          <w:i/>
          <w:sz w:val="24"/>
        </w:rPr>
        <w:t>dica del mismo, no estando por lo tanto acreditado el de</w:t>
      </w:r>
      <w:r w:rsidR="00CE31BC" w:rsidRPr="00133235">
        <w:rPr>
          <w:i/>
          <w:sz w:val="24"/>
        </w:rPr>
        <w:t>r</w:t>
      </w:r>
      <w:r w:rsidR="00D2065A" w:rsidRPr="00133235">
        <w:rPr>
          <w:i/>
          <w:sz w:val="24"/>
        </w:rPr>
        <w:t xml:space="preserve">echo de </w:t>
      </w:r>
      <w:proofErr w:type="spellStart"/>
      <w:r w:rsidR="00D2065A" w:rsidRPr="00133235">
        <w:rPr>
          <w:i/>
          <w:sz w:val="24"/>
        </w:rPr>
        <w:t>Audenasa</w:t>
      </w:r>
      <w:proofErr w:type="spellEnd"/>
      <w:r w:rsidR="00D2065A" w:rsidRPr="00133235">
        <w:rPr>
          <w:i/>
          <w:sz w:val="24"/>
        </w:rPr>
        <w:t xml:space="preserve"> al abono propuesto y suponiendo un p</w:t>
      </w:r>
      <w:r w:rsidR="00FC0AED">
        <w:rPr>
          <w:i/>
          <w:sz w:val="24"/>
        </w:rPr>
        <w:t>er</w:t>
      </w:r>
      <w:r w:rsidR="00D2065A" w:rsidRPr="00133235">
        <w:rPr>
          <w:i/>
          <w:sz w:val="24"/>
        </w:rPr>
        <w:t>juicio para la Hacienda Pública...”.</w:t>
      </w:r>
    </w:p>
    <w:p w:rsidR="00D2065A" w:rsidRPr="00133235" w:rsidRDefault="00D2065A" w:rsidP="00D2065A">
      <w:pPr>
        <w:pStyle w:val="texto"/>
        <w:spacing w:before="120"/>
        <w:rPr>
          <w:szCs w:val="26"/>
        </w:rPr>
      </w:pPr>
      <w:r w:rsidRPr="00133235">
        <w:rPr>
          <w:szCs w:val="26"/>
        </w:rPr>
        <w:t xml:space="preserve">El mismo 30 de diciembre de 2020, la delegada del Gobierno </w:t>
      </w:r>
      <w:r w:rsidR="00A41F3D">
        <w:rPr>
          <w:szCs w:val="26"/>
        </w:rPr>
        <w:t>tramita</w:t>
      </w:r>
      <w:r w:rsidRPr="00133235">
        <w:rPr>
          <w:szCs w:val="26"/>
        </w:rPr>
        <w:t xml:space="preserve"> una propuesta modificada de abono de la factura del mes de noviembre de 2020 </w:t>
      </w:r>
      <w:r w:rsidR="00A41F3D">
        <w:rPr>
          <w:szCs w:val="26"/>
        </w:rPr>
        <w:t xml:space="preserve">por </w:t>
      </w:r>
      <w:r w:rsidR="00927176" w:rsidRPr="00133235">
        <w:rPr>
          <w:szCs w:val="26"/>
        </w:rPr>
        <w:t>un importe de</w:t>
      </w:r>
      <w:r w:rsidR="007B1529">
        <w:rPr>
          <w:szCs w:val="26"/>
        </w:rPr>
        <w:t xml:space="preserve"> 1,21 millones; este importe supone la aplicación del valor 1,65 al coeficiente C.</w:t>
      </w:r>
    </w:p>
    <w:p w:rsidR="00D2065A" w:rsidRPr="00133235" w:rsidRDefault="008C468B" w:rsidP="00D2065A">
      <w:pPr>
        <w:pStyle w:val="texto"/>
        <w:spacing w:before="120"/>
        <w:rPr>
          <w:szCs w:val="26"/>
        </w:rPr>
      </w:pPr>
      <w:r w:rsidRPr="00133235">
        <w:rPr>
          <w:szCs w:val="26"/>
        </w:rPr>
        <w:t xml:space="preserve">Teniendo en cuenta esta propuesta </w:t>
      </w:r>
      <w:r w:rsidR="00A41F3D">
        <w:rPr>
          <w:szCs w:val="26"/>
        </w:rPr>
        <w:t xml:space="preserve">modificada </w:t>
      </w:r>
      <w:r w:rsidRPr="00133235">
        <w:rPr>
          <w:szCs w:val="26"/>
        </w:rPr>
        <w:t>de abono y aceptando el rep</w:t>
      </w:r>
      <w:r w:rsidRPr="00133235">
        <w:rPr>
          <w:szCs w:val="26"/>
        </w:rPr>
        <w:t>a</w:t>
      </w:r>
      <w:r w:rsidRPr="00133235">
        <w:rPr>
          <w:szCs w:val="26"/>
        </w:rPr>
        <w:t xml:space="preserve">ro </w:t>
      </w:r>
      <w:r w:rsidR="00040D64">
        <w:rPr>
          <w:szCs w:val="26"/>
        </w:rPr>
        <w:t>de la Intervención General</w:t>
      </w:r>
      <w:r w:rsidRPr="00133235">
        <w:rPr>
          <w:szCs w:val="26"/>
        </w:rPr>
        <w:t>, l</w:t>
      </w:r>
      <w:r w:rsidR="00D2065A" w:rsidRPr="00133235">
        <w:rPr>
          <w:szCs w:val="26"/>
        </w:rPr>
        <w:t>a Consejera de Economía y Hacienda aprueba la Orden Foral 41E/2020, de 31 de diciembre, por la que se ordena el pago de la factura correspondiente al mes de noviembre de 2020 por un total de 1,21 m</w:t>
      </w:r>
      <w:r w:rsidR="00D2065A" w:rsidRPr="00133235">
        <w:rPr>
          <w:szCs w:val="26"/>
        </w:rPr>
        <w:t>i</w:t>
      </w:r>
      <w:r w:rsidR="00D2065A" w:rsidRPr="00133235">
        <w:rPr>
          <w:szCs w:val="26"/>
        </w:rPr>
        <w:t>llones.</w:t>
      </w:r>
    </w:p>
    <w:p w:rsidR="00040D64" w:rsidRDefault="00040D64">
      <w:pPr>
        <w:spacing w:after="0"/>
        <w:ind w:firstLine="0"/>
        <w:jc w:val="left"/>
        <w:rPr>
          <w:spacing w:val="6"/>
          <w:sz w:val="26"/>
          <w:szCs w:val="26"/>
        </w:rPr>
      </w:pPr>
      <w:r>
        <w:rPr>
          <w:szCs w:val="26"/>
        </w:rPr>
        <w:br w:type="page"/>
      </w:r>
    </w:p>
    <w:p w:rsidR="00D2065A" w:rsidRPr="00133235" w:rsidRDefault="00927176" w:rsidP="00927176">
      <w:pPr>
        <w:pStyle w:val="texto"/>
        <w:spacing w:before="120"/>
        <w:rPr>
          <w:szCs w:val="26"/>
        </w:rPr>
      </w:pPr>
      <w:r w:rsidRPr="00133235">
        <w:rPr>
          <w:szCs w:val="26"/>
        </w:rPr>
        <w:lastRenderedPageBreak/>
        <w:t xml:space="preserve">El 4 de febrero de 2021, </w:t>
      </w:r>
      <w:proofErr w:type="spellStart"/>
      <w:r w:rsidRPr="00133235">
        <w:rPr>
          <w:szCs w:val="26"/>
        </w:rPr>
        <w:t>Audenasa</w:t>
      </w:r>
      <w:proofErr w:type="spellEnd"/>
      <w:r w:rsidRPr="00133235">
        <w:rPr>
          <w:szCs w:val="26"/>
        </w:rPr>
        <w:t xml:space="preserve"> interpone recurso de alzada contra la o</w:t>
      </w:r>
      <w:r w:rsidRPr="00133235">
        <w:rPr>
          <w:szCs w:val="26"/>
        </w:rPr>
        <w:t>r</w:t>
      </w:r>
      <w:r w:rsidRPr="00133235">
        <w:rPr>
          <w:szCs w:val="26"/>
        </w:rPr>
        <w:t>den foral anterior en el que expone sus argumentos entre los que se encuentran los siguientes:</w:t>
      </w:r>
    </w:p>
    <w:p w:rsidR="00CE31BC" w:rsidRPr="00133235" w:rsidRDefault="00CE31BC" w:rsidP="00927176">
      <w:pPr>
        <w:pStyle w:val="texto"/>
        <w:spacing w:before="120"/>
        <w:rPr>
          <w:i/>
          <w:sz w:val="24"/>
        </w:rPr>
      </w:pPr>
      <w:r w:rsidRPr="00133235">
        <w:rPr>
          <w:i/>
          <w:sz w:val="24"/>
        </w:rPr>
        <w:t>“...esta realidad no ha hecho más que poner de manifiesto de modo patente e i</w:t>
      </w:r>
      <w:r w:rsidRPr="00133235">
        <w:rPr>
          <w:i/>
          <w:sz w:val="24"/>
        </w:rPr>
        <w:t>n</w:t>
      </w:r>
      <w:r w:rsidRPr="00133235">
        <w:rPr>
          <w:i/>
          <w:sz w:val="24"/>
        </w:rPr>
        <w:t>cuestionable algo de lo que nadie había sido consciente hasta este momento, a saber, que la aplicación de la fórmula en decrementos de este calibre, no es que sea ilógica, que también, sino que es absolutamente imposible e insostenible. Pequeños decr</w:t>
      </w:r>
      <w:r w:rsidRPr="00133235">
        <w:rPr>
          <w:i/>
          <w:sz w:val="24"/>
        </w:rPr>
        <w:t>e</w:t>
      </w:r>
      <w:r w:rsidRPr="00133235">
        <w:rPr>
          <w:i/>
          <w:sz w:val="24"/>
        </w:rPr>
        <w:t>mentos como los sufridos en el periodo 2008 a 2012 no estresaron la fórmula ni mo</w:t>
      </w:r>
      <w:r w:rsidRPr="00133235">
        <w:rPr>
          <w:i/>
          <w:sz w:val="24"/>
        </w:rPr>
        <w:t>s</w:t>
      </w:r>
      <w:r w:rsidRPr="00133235">
        <w:rPr>
          <w:i/>
          <w:sz w:val="24"/>
        </w:rPr>
        <w:t>traron este efecto tan perverso, pero no puede decirse lo mismo tras las disminuci</w:t>
      </w:r>
      <w:r w:rsidRPr="00133235">
        <w:rPr>
          <w:i/>
          <w:sz w:val="24"/>
        </w:rPr>
        <w:t>o</w:t>
      </w:r>
      <w:r w:rsidRPr="00133235">
        <w:rPr>
          <w:i/>
          <w:sz w:val="24"/>
        </w:rPr>
        <w:t>nes del año 2020, tan acusadas que han hecho aflorar que la aplicación de la fórm</w:t>
      </w:r>
      <w:r w:rsidRPr="00133235">
        <w:rPr>
          <w:i/>
          <w:sz w:val="24"/>
        </w:rPr>
        <w:t>u</w:t>
      </w:r>
      <w:r w:rsidRPr="00133235">
        <w:rPr>
          <w:i/>
          <w:sz w:val="24"/>
        </w:rPr>
        <w:t>la no se acomoda a la razón del convenio ni, consecuentemente, a la voluntad de las partes, demostrándose inservible ante un cambio de circunstancias tan inéditas y n</w:t>
      </w:r>
      <w:r w:rsidRPr="00133235">
        <w:rPr>
          <w:i/>
          <w:sz w:val="24"/>
        </w:rPr>
        <w:t>o</w:t>
      </w:r>
      <w:r w:rsidRPr="00133235">
        <w:rPr>
          <w:i/>
          <w:sz w:val="24"/>
        </w:rPr>
        <w:t>tables...”</w:t>
      </w:r>
    </w:p>
    <w:p w:rsidR="00CE31BC" w:rsidRPr="00133235" w:rsidRDefault="00CE31BC" w:rsidP="00CE31BC">
      <w:pPr>
        <w:autoSpaceDE w:val="0"/>
        <w:autoSpaceDN w:val="0"/>
        <w:adjustRightInd w:val="0"/>
        <w:spacing w:after="0"/>
        <w:ind w:firstLine="284"/>
        <w:jc w:val="left"/>
        <w:rPr>
          <w:i/>
          <w:spacing w:val="6"/>
          <w:sz w:val="24"/>
          <w:szCs w:val="24"/>
        </w:rPr>
      </w:pPr>
      <w:r w:rsidRPr="00133235">
        <w:rPr>
          <w:i/>
          <w:spacing w:val="6"/>
          <w:sz w:val="24"/>
          <w:szCs w:val="24"/>
        </w:rPr>
        <w:t>“...Debe tenerse particularmente en cuenta en primer lugar que el criterio de una Administración a lo largo del tiempo no es monolítico, puede cambiar, y prueba de ello es que el artículo 35 de la Ley 39/2015, de 1 de octubre, de Procedimiento Adm</w:t>
      </w:r>
      <w:r w:rsidRPr="00133235">
        <w:rPr>
          <w:i/>
          <w:spacing w:val="6"/>
          <w:sz w:val="24"/>
          <w:szCs w:val="24"/>
        </w:rPr>
        <w:t>i</w:t>
      </w:r>
      <w:r w:rsidRPr="00133235">
        <w:rPr>
          <w:i/>
          <w:spacing w:val="6"/>
          <w:sz w:val="24"/>
          <w:szCs w:val="24"/>
        </w:rPr>
        <w:t>nistrativo Común, dispone con toda claridad que “Serán motivados, con sucinta ref</w:t>
      </w:r>
      <w:r w:rsidRPr="00133235">
        <w:rPr>
          <w:i/>
          <w:spacing w:val="6"/>
          <w:sz w:val="24"/>
          <w:szCs w:val="24"/>
        </w:rPr>
        <w:t>e</w:t>
      </w:r>
      <w:r w:rsidRPr="00133235">
        <w:rPr>
          <w:i/>
          <w:spacing w:val="6"/>
          <w:sz w:val="24"/>
          <w:szCs w:val="24"/>
        </w:rPr>
        <w:t>rencia de hechos y fundamentos de derecho: … c) Los actos que se separen del crit</w:t>
      </w:r>
      <w:r w:rsidRPr="00133235">
        <w:rPr>
          <w:i/>
          <w:spacing w:val="6"/>
          <w:sz w:val="24"/>
          <w:szCs w:val="24"/>
        </w:rPr>
        <w:t>e</w:t>
      </w:r>
      <w:r w:rsidRPr="00133235">
        <w:rPr>
          <w:i/>
          <w:spacing w:val="6"/>
          <w:sz w:val="24"/>
          <w:szCs w:val="24"/>
        </w:rPr>
        <w:t xml:space="preserve">rio seguido en actuaciones precedentes o del dictamen de órganos consultivos. </w:t>
      </w:r>
    </w:p>
    <w:p w:rsidR="00E16110" w:rsidRDefault="00CE31BC" w:rsidP="00CE31BC">
      <w:pPr>
        <w:pStyle w:val="texto"/>
        <w:spacing w:before="240"/>
        <w:rPr>
          <w:i/>
          <w:sz w:val="24"/>
        </w:rPr>
      </w:pPr>
      <w:r w:rsidRPr="00133235">
        <w:rPr>
          <w:i/>
          <w:sz w:val="24"/>
        </w:rPr>
        <w:t>Por lo tanto, la Administración puede separarse de un criterio previo. Habrá de hacerlo motivadamente, por supuesto, pero ya hemos visto sobradamente en nuestro fundamento de derecho anterior que tal motivación existe, y que el cambio de criterio se encuentra plenamente justificado en la concurrencia de unas circunstancias inéd</w:t>
      </w:r>
      <w:r w:rsidRPr="00133235">
        <w:rPr>
          <w:i/>
          <w:sz w:val="24"/>
        </w:rPr>
        <w:t>i</w:t>
      </w:r>
      <w:r w:rsidRPr="00133235">
        <w:rPr>
          <w:i/>
          <w:sz w:val="24"/>
        </w:rPr>
        <w:t>tas y extraordinarias que han permitido acreditar y advertir de modo sobrevenido que la fórmula de cálculo de compensación tal como se venía interpretando da lugar a resultados absurdos, erróneos e insostenibles, todo lo cual demanda un cambio i</w:t>
      </w:r>
      <w:r w:rsidRPr="00133235">
        <w:rPr>
          <w:i/>
          <w:sz w:val="24"/>
        </w:rPr>
        <w:t>n</w:t>
      </w:r>
      <w:r w:rsidRPr="00133235">
        <w:rPr>
          <w:i/>
          <w:sz w:val="24"/>
        </w:rPr>
        <w:t>terpretativo adaptativo o paliativo que, además, por si todo lo anterior fuera poco, encuentra el apoyo de la cláusula 7ª del convenio formalizado en mayo de 1999, que permanece vigente.</w:t>
      </w:r>
    </w:p>
    <w:p w:rsidR="00E16110" w:rsidRPr="00E16110" w:rsidRDefault="00E16110" w:rsidP="00E16110">
      <w:pPr>
        <w:pStyle w:val="texto"/>
        <w:spacing w:before="120" w:after="120"/>
        <w:rPr>
          <w:i/>
          <w:sz w:val="24"/>
        </w:rPr>
      </w:pPr>
      <w:r w:rsidRPr="00E16110">
        <w:rPr>
          <w:i/>
          <w:sz w:val="24"/>
        </w:rPr>
        <w:t>…En definitivas cuentas, la Administración de la Comunidad Foral de Navarra cuenta con los mecanismos e instrumentos jurídicos oportunos para encauzar la enorme, imposible e irracional distorsión que, de modo acreditado, provoca la actual aplicación de la fórmula, ya sea aplicando un nuevo criterio interpretativo, ya sea acordando con AUDENASA la modificación formal del convenio para la aplicación de una nueva política comercial de descuentos en la autopista AP-15.</w:t>
      </w:r>
    </w:p>
    <w:p w:rsidR="00E16110" w:rsidRPr="00E16110" w:rsidRDefault="00E16110" w:rsidP="00E16110">
      <w:pPr>
        <w:pStyle w:val="texto"/>
        <w:spacing w:before="120"/>
        <w:rPr>
          <w:i/>
          <w:sz w:val="24"/>
        </w:rPr>
      </w:pPr>
      <w:r w:rsidRPr="00E16110">
        <w:rPr>
          <w:i/>
          <w:sz w:val="24"/>
        </w:rPr>
        <w:t>Procede, por lo tanto, estimar el presente recurso y abonar la compensación sol</w:t>
      </w:r>
      <w:r w:rsidRPr="00E16110">
        <w:rPr>
          <w:i/>
          <w:sz w:val="24"/>
        </w:rPr>
        <w:t>i</w:t>
      </w:r>
      <w:r w:rsidRPr="00E16110">
        <w:rPr>
          <w:i/>
          <w:sz w:val="24"/>
        </w:rPr>
        <w:t>citada: 6.284.728,28 euros…”.</w:t>
      </w:r>
    </w:p>
    <w:p w:rsidR="006C4DAC" w:rsidRPr="00133235" w:rsidRDefault="00CE31BC" w:rsidP="00CE31BC">
      <w:pPr>
        <w:pStyle w:val="texto"/>
        <w:tabs>
          <w:tab w:val="clear" w:pos="2835"/>
          <w:tab w:val="clear" w:pos="3969"/>
          <w:tab w:val="clear" w:pos="5103"/>
          <w:tab w:val="clear" w:pos="6237"/>
          <w:tab w:val="clear" w:pos="7371"/>
          <w:tab w:val="left" w:pos="480"/>
          <w:tab w:val="num" w:pos="600"/>
        </w:tabs>
        <w:spacing w:after="100"/>
        <w:ind w:firstLine="290"/>
        <w:rPr>
          <w:szCs w:val="26"/>
        </w:rPr>
      </w:pPr>
      <w:r w:rsidRPr="00133235">
        <w:rPr>
          <w:szCs w:val="26"/>
        </w:rPr>
        <w:t>El 10 de febrero de 2021, la delegada del Gobierno de Navarra emite un i</w:t>
      </w:r>
      <w:r w:rsidRPr="00133235">
        <w:rPr>
          <w:szCs w:val="26"/>
        </w:rPr>
        <w:t>n</w:t>
      </w:r>
      <w:r w:rsidRPr="00133235">
        <w:rPr>
          <w:szCs w:val="26"/>
        </w:rPr>
        <w:t>forme sobre el recurso de</w:t>
      </w:r>
      <w:r w:rsidR="00BE2B23" w:rsidRPr="00133235">
        <w:rPr>
          <w:szCs w:val="26"/>
        </w:rPr>
        <w:t xml:space="preserve"> alzada de </w:t>
      </w:r>
      <w:proofErr w:type="spellStart"/>
      <w:r w:rsidR="00BE2B23" w:rsidRPr="00133235">
        <w:rPr>
          <w:szCs w:val="26"/>
        </w:rPr>
        <w:t>Audenasa</w:t>
      </w:r>
      <w:proofErr w:type="spellEnd"/>
      <w:r w:rsidR="00BE2B23" w:rsidRPr="00133235">
        <w:rPr>
          <w:szCs w:val="26"/>
        </w:rPr>
        <w:t xml:space="preserve"> en el que se incluyen, entre otra</w:t>
      </w:r>
      <w:r w:rsidRPr="00133235">
        <w:rPr>
          <w:szCs w:val="26"/>
        </w:rPr>
        <w:t>s</w:t>
      </w:r>
      <w:r w:rsidR="00BE2B23" w:rsidRPr="00133235">
        <w:rPr>
          <w:szCs w:val="26"/>
        </w:rPr>
        <w:t>,</w:t>
      </w:r>
      <w:r w:rsidRPr="00133235">
        <w:rPr>
          <w:szCs w:val="26"/>
        </w:rPr>
        <w:t xml:space="preserve"> </w:t>
      </w:r>
      <w:r w:rsidR="00BE2B23" w:rsidRPr="00133235">
        <w:rPr>
          <w:szCs w:val="26"/>
        </w:rPr>
        <w:t>las siguientes afirmaciones</w:t>
      </w:r>
      <w:r w:rsidRPr="00133235">
        <w:rPr>
          <w:szCs w:val="26"/>
        </w:rPr>
        <w:t>:</w:t>
      </w:r>
    </w:p>
    <w:p w:rsidR="00BE2B23" w:rsidRPr="00133235" w:rsidRDefault="00BE2B23" w:rsidP="00BE2B23">
      <w:pPr>
        <w:pStyle w:val="texto"/>
        <w:spacing w:before="120"/>
        <w:rPr>
          <w:i/>
          <w:sz w:val="24"/>
        </w:rPr>
      </w:pPr>
      <w:r w:rsidRPr="00133235">
        <w:rPr>
          <w:i/>
          <w:sz w:val="24"/>
        </w:rPr>
        <w:t>“...Se comparte por esta Delegada el fundamento defendido por la concesionaria en el Recurso de Alzada respecto a que el Convenio de 1999 se diseñó para compe</w:t>
      </w:r>
      <w:r w:rsidRPr="00133235">
        <w:rPr>
          <w:i/>
          <w:sz w:val="24"/>
        </w:rPr>
        <w:t>n</w:t>
      </w:r>
      <w:r w:rsidRPr="00133235">
        <w:rPr>
          <w:i/>
          <w:sz w:val="24"/>
        </w:rPr>
        <w:t>sar a la misma por la pérdida de ingresos, siempre bajo la perspectiva de que la pol</w:t>
      </w:r>
      <w:r w:rsidRPr="00133235">
        <w:rPr>
          <w:i/>
          <w:sz w:val="24"/>
        </w:rPr>
        <w:t>í</w:t>
      </w:r>
      <w:r w:rsidRPr="00133235">
        <w:rPr>
          <w:i/>
          <w:sz w:val="24"/>
        </w:rPr>
        <w:lastRenderedPageBreak/>
        <w:t>tica de descuentos incrementaría el tráfico de la autopista, y que como consecuencia de ello los factores de actualización de la fórmula F2 y C se definieran como incr</w:t>
      </w:r>
      <w:r w:rsidRPr="00133235">
        <w:rPr>
          <w:i/>
          <w:sz w:val="24"/>
        </w:rPr>
        <w:t>e</w:t>
      </w:r>
      <w:r w:rsidRPr="00133235">
        <w:rPr>
          <w:i/>
          <w:sz w:val="24"/>
        </w:rPr>
        <w:t>mentos.</w:t>
      </w:r>
    </w:p>
    <w:p w:rsidR="00BE2B23" w:rsidRPr="00133235" w:rsidRDefault="00BE2B23" w:rsidP="00BE2B23">
      <w:pPr>
        <w:pStyle w:val="texto"/>
        <w:spacing w:before="120"/>
        <w:rPr>
          <w:i/>
          <w:sz w:val="24"/>
        </w:rPr>
      </w:pPr>
      <w:r w:rsidRPr="00133235">
        <w:rPr>
          <w:i/>
          <w:sz w:val="24"/>
        </w:rPr>
        <w:t>Sin embargo, la interpretación lógica y correcta de la fórmula según el sentido propio de los términos de la misma, debe hacerse no sólo con la literalidad de la fórmula sino teniendo en cuenta asimismo el contexto, los antecedentes, la realidad y las circunstancias del momento en que ha de ser aplicada y atendiendo fundamenta</w:t>
      </w:r>
      <w:r w:rsidRPr="00133235">
        <w:rPr>
          <w:i/>
          <w:sz w:val="24"/>
        </w:rPr>
        <w:t>l</w:t>
      </w:r>
      <w:r w:rsidRPr="00133235">
        <w:rPr>
          <w:i/>
          <w:sz w:val="24"/>
        </w:rPr>
        <w:t>mente al espíritu y finalidad del Convenio. Siendo compartido por las partes que una situación como la sobrevenida en el año 2020 con motivo de la pandemia era difícil de prever en el año 1999...</w:t>
      </w:r>
    </w:p>
    <w:p w:rsidR="00BE2B23" w:rsidRPr="00133235" w:rsidRDefault="00BE2B23" w:rsidP="00BE2B23">
      <w:pPr>
        <w:pStyle w:val="texto"/>
        <w:spacing w:before="120"/>
        <w:rPr>
          <w:i/>
          <w:sz w:val="24"/>
        </w:rPr>
      </w:pPr>
      <w:r w:rsidRPr="00133235">
        <w:rPr>
          <w:i/>
          <w:sz w:val="24"/>
        </w:rPr>
        <w:t>...Es cierto, que en el periodo comprendido entre los años 2008-2013 se aplicó el coeficiente anual que estaba en vigor, pese a que se dieron variaciones del tráfico del corredor negativas. Pero no es menos cierto, como se señala en el Recurso de Alz</w:t>
      </w:r>
      <w:r w:rsidRPr="00133235">
        <w:rPr>
          <w:i/>
          <w:sz w:val="24"/>
        </w:rPr>
        <w:t>a</w:t>
      </w:r>
      <w:r w:rsidRPr="00133235">
        <w:rPr>
          <w:i/>
          <w:sz w:val="24"/>
        </w:rPr>
        <w:t>da, que en aquellos años no se produjo una distorsión como la que se ha hecho p</w:t>
      </w:r>
      <w:r w:rsidRPr="00133235">
        <w:rPr>
          <w:i/>
          <w:sz w:val="24"/>
        </w:rPr>
        <w:t>a</w:t>
      </w:r>
      <w:r w:rsidRPr="00133235">
        <w:rPr>
          <w:i/>
          <w:sz w:val="24"/>
        </w:rPr>
        <w:t>tente en el año 2020 y este criterio interpretativo no fue cuestionado por ninguna de las partes; situación que sí ha ocurrido en este momento. No es extraño que no se d</w:t>
      </w:r>
      <w:r w:rsidRPr="00133235">
        <w:rPr>
          <w:i/>
          <w:sz w:val="24"/>
        </w:rPr>
        <w:t>e</w:t>
      </w:r>
      <w:r w:rsidRPr="00133235">
        <w:rPr>
          <w:i/>
          <w:sz w:val="24"/>
        </w:rPr>
        <w:t>tectara esta anomalía en los años precedentes puesto que, en el año 2008, primero con caída del tráfico del corredor, el importe de la recaudación teórica creció, y lo mismo ocurrió en el año 2011...</w:t>
      </w:r>
    </w:p>
    <w:p w:rsidR="00E16110" w:rsidRDefault="00BE2B23" w:rsidP="005E280A">
      <w:pPr>
        <w:pStyle w:val="texto"/>
        <w:spacing w:before="120"/>
        <w:rPr>
          <w:i/>
          <w:sz w:val="24"/>
        </w:rPr>
      </w:pPr>
      <w:r w:rsidRPr="00133235">
        <w:rPr>
          <w:i/>
          <w:sz w:val="24"/>
        </w:rPr>
        <w:t>.</w:t>
      </w:r>
      <w:r w:rsidR="00E16110">
        <w:rPr>
          <w:i/>
          <w:sz w:val="24"/>
        </w:rPr>
        <w:t>.</w:t>
      </w:r>
      <w:r w:rsidRPr="00133235">
        <w:rPr>
          <w:i/>
          <w:sz w:val="24"/>
        </w:rPr>
        <w:t>.Atendiendo fundamentalmente al espíritu y finalidad del Convenio, se considera que lo correcto es que en el caso en que F2 resulte negativo</w:t>
      </w:r>
      <w:r w:rsidR="006B420D" w:rsidRPr="00133235">
        <w:rPr>
          <w:i/>
          <w:sz w:val="24"/>
        </w:rPr>
        <w:t>,</w:t>
      </w:r>
      <w:r w:rsidRPr="00133235">
        <w:rPr>
          <w:i/>
          <w:sz w:val="24"/>
        </w:rPr>
        <w:t xml:space="preserve"> el valor que debe tomar C es igual a 1, dado que de esta manera tiene un efecto neutro en el resultado de la fórmula de ingresos teóricos...</w:t>
      </w:r>
    </w:p>
    <w:p w:rsidR="00E16110" w:rsidRPr="00E16110" w:rsidRDefault="00E16110" w:rsidP="00E16110">
      <w:pPr>
        <w:pStyle w:val="texto"/>
        <w:spacing w:before="120"/>
        <w:rPr>
          <w:i/>
          <w:sz w:val="24"/>
        </w:rPr>
      </w:pPr>
      <w:r>
        <w:rPr>
          <w:i/>
          <w:sz w:val="24"/>
        </w:rPr>
        <w:t>.</w:t>
      </w:r>
      <w:r w:rsidRPr="00E16110">
        <w:rPr>
          <w:i/>
          <w:sz w:val="24"/>
        </w:rPr>
        <w:t>..No se considera correcta la interpretación realizada por la Intervención, que considera que debe mantenerse la aplicación del coeficiente C = 1,65 cuando se den minoraciones del tráfico del corredor, ya que ni tiene en cuenta la literalidad de la fórmula acordada en el año 1999, ni tampoco atiende al espíritu y finalidad del Co</w:t>
      </w:r>
      <w:r w:rsidRPr="00E16110">
        <w:rPr>
          <w:i/>
          <w:sz w:val="24"/>
        </w:rPr>
        <w:t>n</w:t>
      </w:r>
      <w:r w:rsidRPr="00E16110">
        <w:rPr>
          <w:i/>
          <w:sz w:val="24"/>
        </w:rPr>
        <w:t>venio suscrito y precisamente esa interpretación es la que ha causado las importantes distorsiones en el resultado del cálculo de la compensación en los meses de marzo, abril y mayo..”.</w:t>
      </w:r>
    </w:p>
    <w:p w:rsidR="00BE2B23" w:rsidRPr="00133235" w:rsidRDefault="00BE2B23" w:rsidP="006B420D">
      <w:pPr>
        <w:pStyle w:val="texto"/>
        <w:spacing w:after="120"/>
        <w:rPr>
          <w:szCs w:val="26"/>
        </w:rPr>
      </w:pPr>
      <w:r w:rsidRPr="00133235">
        <w:rPr>
          <w:szCs w:val="26"/>
        </w:rPr>
        <w:t xml:space="preserve">El informe de la delegada del Gobierno de Navarra acaba concluyendo que encuentra convenientemente motivado el criterio interpretativo de aplicación de la fórmula de compensación considerando un coeficiente C con valor 1 y que procede la </w:t>
      </w:r>
      <w:r w:rsidR="00883DA6">
        <w:rPr>
          <w:szCs w:val="26"/>
        </w:rPr>
        <w:t xml:space="preserve">estimación </w:t>
      </w:r>
      <w:r w:rsidRPr="00133235">
        <w:rPr>
          <w:szCs w:val="26"/>
        </w:rPr>
        <w:t xml:space="preserve">del recurso de alzada presentado por </w:t>
      </w:r>
      <w:proofErr w:type="spellStart"/>
      <w:r w:rsidRPr="00133235">
        <w:rPr>
          <w:szCs w:val="26"/>
        </w:rPr>
        <w:t>Audenasa</w:t>
      </w:r>
      <w:proofErr w:type="spellEnd"/>
      <w:r w:rsidRPr="00133235">
        <w:rPr>
          <w:szCs w:val="26"/>
        </w:rPr>
        <w:t>.</w:t>
      </w:r>
    </w:p>
    <w:p w:rsidR="00BE2B23" w:rsidRPr="00133235" w:rsidRDefault="00BE2B23" w:rsidP="006B420D">
      <w:pPr>
        <w:pStyle w:val="texto"/>
        <w:spacing w:after="120"/>
        <w:rPr>
          <w:szCs w:val="26"/>
        </w:rPr>
      </w:pPr>
      <w:r w:rsidRPr="00133235">
        <w:rPr>
          <w:szCs w:val="26"/>
        </w:rPr>
        <w:t>Asimismo, el 10 de febrero de 2021, el Secretario General Técnico del D</w:t>
      </w:r>
      <w:r w:rsidRPr="00133235">
        <w:rPr>
          <w:szCs w:val="26"/>
        </w:rPr>
        <w:t>e</w:t>
      </w:r>
      <w:r w:rsidRPr="00133235">
        <w:rPr>
          <w:szCs w:val="26"/>
        </w:rPr>
        <w:t xml:space="preserve">partamento de Economía y Hacienda emite un informe </w:t>
      </w:r>
      <w:r w:rsidR="009A48B4">
        <w:rPr>
          <w:szCs w:val="26"/>
        </w:rPr>
        <w:t xml:space="preserve">jurídico </w:t>
      </w:r>
      <w:r w:rsidRPr="00133235">
        <w:rPr>
          <w:szCs w:val="26"/>
        </w:rPr>
        <w:t xml:space="preserve">sobre el recurso de alzada en </w:t>
      </w:r>
      <w:r w:rsidR="00A41F3D">
        <w:rPr>
          <w:szCs w:val="26"/>
        </w:rPr>
        <w:t xml:space="preserve">el </w:t>
      </w:r>
      <w:r w:rsidRPr="00133235">
        <w:rPr>
          <w:szCs w:val="26"/>
        </w:rPr>
        <w:t>que detalla, entre otros, los siguientes aspectos:</w:t>
      </w:r>
    </w:p>
    <w:p w:rsidR="00BE2B23" w:rsidRPr="00133235" w:rsidRDefault="00BE2B23" w:rsidP="00BE2B23">
      <w:pPr>
        <w:pStyle w:val="texto"/>
        <w:spacing w:before="120"/>
        <w:rPr>
          <w:i/>
          <w:sz w:val="24"/>
        </w:rPr>
      </w:pPr>
      <w:r w:rsidRPr="00133235">
        <w:rPr>
          <w:i/>
          <w:sz w:val="24"/>
        </w:rPr>
        <w:t>“...Parece cuando menos arriesgado basar el reparo suspensivo en una supuesta falta de motivación del cambio de criterio, subsumiéndolo en la expresión “graves irregularidades en la documentación justificativa del reconocimiento de la oblig</w:t>
      </w:r>
      <w:r w:rsidRPr="00133235">
        <w:rPr>
          <w:i/>
          <w:sz w:val="24"/>
        </w:rPr>
        <w:t>a</w:t>
      </w:r>
      <w:r w:rsidRPr="00133235">
        <w:rPr>
          <w:i/>
          <w:sz w:val="24"/>
        </w:rPr>
        <w:t>ción o no se acredite suficientemente el derecho de su pe</w:t>
      </w:r>
      <w:r w:rsidR="00A41F3D">
        <w:rPr>
          <w:i/>
          <w:sz w:val="24"/>
        </w:rPr>
        <w:t>rceptor”</w:t>
      </w:r>
      <w:r w:rsidRPr="00133235">
        <w:rPr>
          <w:i/>
          <w:sz w:val="24"/>
        </w:rPr>
        <w:t xml:space="preserve">, ya no sólo por lo expuesto por el impugnante sino por la emisión de informes por parte de la Delegada del Gobierno en AUDENASA en el que se explica el origen de la aplicación de la </w:t>
      </w:r>
      <w:r w:rsidRPr="00133235">
        <w:rPr>
          <w:i/>
          <w:sz w:val="24"/>
        </w:rPr>
        <w:lastRenderedPageBreak/>
        <w:t>fórmula, las negociaciones en el Consejo de Administración, el grupo de trabajo creado al efecto, los análisis desde el año 2007 de los ingresos y la aplicación del coeficiente C, la posible aplicación de la cláusula 7ª del convenio sobre equilibrio económico-financiero, la lógica de interpretar que el coeficiente C=1, etc. y que es ampliada –dicha motivación- en informe de contestación al recurso que nos ocupa.</w:t>
      </w:r>
    </w:p>
    <w:p w:rsidR="00BE2B23" w:rsidRPr="00133235" w:rsidRDefault="00BE2B23" w:rsidP="00BE2B23">
      <w:pPr>
        <w:pStyle w:val="texto"/>
        <w:spacing w:before="120"/>
        <w:rPr>
          <w:i/>
          <w:sz w:val="24"/>
        </w:rPr>
      </w:pPr>
      <w:r w:rsidRPr="00133235">
        <w:rPr>
          <w:i/>
          <w:sz w:val="24"/>
        </w:rPr>
        <w:t>No parece que lo expuesto por el Interventor General suponga una ilegalidad i</w:t>
      </w:r>
      <w:r w:rsidRPr="00133235">
        <w:rPr>
          <w:i/>
          <w:sz w:val="24"/>
        </w:rPr>
        <w:t>n</w:t>
      </w:r>
      <w:r w:rsidRPr="00133235">
        <w:rPr>
          <w:i/>
          <w:sz w:val="24"/>
        </w:rPr>
        <w:t>superable o insubsanable (en palabras del recurrente), que conlleve aparejada la formulación de un reparo suspensivo. De la normativa aplicable a esta materia (ta</w:t>
      </w:r>
      <w:r w:rsidRPr="00133235">
        <w:rPr>
          <w:i/>
          <w:sz w:val="24"/>
        </w:rPr>
        <w:t>n</w:t>
      </w:r>
      <w:r w:rsidRPr="00133235">
        <w:rPr>
          <w:i/>
          <w:sz w:val="24"/>
        </w:rPr>
        <w:t>to la Ley Foral 13/2007, de 4 de abril, de la Hacienda Pública de Navarra como del antedicho Decreto Foral 31/2010) se deduce que para formular reparos debe existir una infracción del ordenamiento que tenga la suficiente contundencia - graves irr</w:t>
      </w:r>
      <w:r w:rsidRPr="00133235">
        <w:rPr>
          <w:i/>
          <w:sz w:val="24"/>
        </w:rPr>
        <w:t>e</w:t>
      </w:r>
      <w:r w:rsidRPr="00133235">
        <w:rPr>
          <w:i/>
          <w:sz w:val="24"/>
        </w:rPr>
        <w:t>gularidades, omisión de trámites que den lugar a la nulidad del acto como para su</w:t>
      </w:r>
      <w:r w:rsidRPr="00133235">
        <w:rPr>
          <w:i/>
          <w:sz w:val="24"/>
        </w:rPr>
        <w:t>s</w:t>
      </w:r>
      <w:r w:rsidRPr="00133235">
        <w:rPr>
          <w:i/>
          <w:sz w:val="24"/>
        </w:rPr>
        <w:t>pender el procedimiento. No parece éste el caso, ya que lo que aquí se discute es si la motivación ha sido suficiente para cambiar el criterio de actuaciones anteriores y, según lo explicado más arriba, puede considerarse que la Delegada del Gobierno en la concesionaria ha justificado con creces el criterio mantenido siempre que se la ha requerido para ello...”.</w:t>
      </w:r>
    </w:p>
    <w:p w:rsidR="00BE2B23" w:rsidRPr="00133235" w:rsidRDefault="00BE2B23" w:rsidP="006B420D">
      <w:pPr>
        <w:pStyle w:val="texto"/>
        <w:spacing w:after="120"/>
        <w:rPr>
          <w:szCs w:val="26"/>
        </w:rPr>
      </w:pPr>
      <w:r w:rsidRPr="00133235">
        <w:rPr>
          <w:szCs w:val="26"/>
        </w:rPr>
        <w:t xml:space="preserve">El informe del Secretario General Técnico acaba concluyendo que procede estimar el recurso de alzada interpuesto y </w:t>
      </w:r>
      <w:r w:rsidR="00A41F3D">
        <w:rPr>
          <w:szCs w:val="26"/>
        </w:rPr>
        <w:t>por ello abonar el to</w:t>
      </w:r>
      <w:r w:rsidRPr="00133235">
        <w:rPr>
          <w:szCs w:val="26"/>
        </w:rPr>
        <w:t>tal del importe propuesto inicialmente que ascendía a 6,28 millones.</w:t>
      </w:r>
    </w:p>
    <w:p w:rsidR="00BE2B23" w:rsidRPr="00133235" w:rsidRDefault="00BE2B23" w:rsidP="006B420D">
      <w:pPr>
        <w:pStyle w:val="texto"/>
        <w:spacing w:after="120"/>
        <w:rPr>
          <w:szCs w:val="26"/>
        </w:rPr>
      </w:pPr>
      <w:r w:rsidRPr="00133235">
        <w:rPr>
          <w:szCs w:val="26"/>
        </w:rPr>
        <w:t xml:space="preserve">El 19 de febrero de 2021, </w:t>
      </w:r>
      <w:r w:rsidR="00040D64">
        <w:rPr>
          <w:szCs w:val="26"/>
        </w:rPr>
        <w:t>la Intervención General</w:t>
      </w:r>
      <w:r w:rsidRPr="00133235">
        <w:rPr>
          <w:szCs w:val="26"/>
        </w:rPr>
        <w:t xml:space="preserve"> emite informe de fiscal</w:t>
      </w:r>
      <w:r w:rsidRPr="00133235">
        <w:rPr>
          <w:szCs w:val="26"/>
        </w:rPr>
        <w:t>i</w:t>
      </w:r>
      <w:r w:rsidRPr="00133235">
        <w:rPr>
          <w:szCs w:val="26"/>
        </w:rPr>
        <w:t xml:space="preserve">zación sobre </w:t>
      </w:r>
      <w:r w:rsidR="00A41F3D">
        <w:rPr>
          <w:szCs w:val="26"/>
        </w:rPr>
        <w:t>la</w:t>
      </w:r>
      <w:r w:rsidRPr="00133235">
        <w:rPr>
          <w:szCs w:val="26"/>
        </w:rPr>
        <w:t xml:space="preserve"> propuesta de Acuerdo de Gobierno que estima el recurso de a</w:t>
      </w:r>
      <w:r w:rsidRPr="00133235">
        <w:rPr>
          <w:szCs w:val="26"/>
        </w:rPr>
        <w:t>l</w:t>
      </w:r>
      <w:r w:rsidRPr="00133235">
        <w:rPr>
          <w:szCs w:val="26"/>
        </w:rPr>
        <w:t xml:space="preserve">zada interpuesto por </w:t>
      </w:r>
      <w:proofErr w:type="spellStart"/>
      <w:r w:rsidRPr="00133235">
        <w:rPr>
          <w:szCs w:val="26"/>
        </w:rPr>
        <w:t>Audenasa</w:t>
      </w:r>
      <w:proofErr w:type="spellEnd"/>
      <w:r w:rsidRPr="00133235">
        <w:rPr>
          <w:szCs w:val="26"/>
        </w:rPr>
        <w:t xml:space="preserve"> en el que se señalan, entre otros, los siguientes aspectos:</w:t>
      </w:r>
    </w:p>
    <w:p w:rsidR="00BE2B23" w:rsidRPr="00133235" w:rsidRDefault="00BE2B23" w:rsidP="00BE2B23">
      <w:pPr>
        <w:autoSpaceDE w:val="0"/>
        <w:autoSpaceDN w:val="0"/>
        <w:adjustRightInd w:val="0"/>
        <w:spacing w:after="120"/>
        <w:ind w:firstLine="284"/>
        <w:rPr>
          <w:i/>
          <w:spacing w:val="6"/>
          <w:sz w:val="24"/>
          <w:szCs w:val="24"/>
        </w:rPr>
      </w:pPr>
      <w:r w:rsidRPr="00133235">
        <w:rPr>
          <w:i/>
          <w:spacing w:val="6"/>
          <w:sz w:val="24"/>
          <w:szCs w:val="24"/>
        </w:rPr>
        <w:t>“...Este coeficiente corrector C, al ser mayor que uno, amplifica el efecto en la r</w:t>
      </w:r>
      <w:r w:rsidRPr="00133235">
        <w:rPr>
          <w:i/>
          <w:spacing w:val="6"/>
          <w:sz w:val="24"/>
          <w:szCs w:val="24"/>
        </w:rPr>
        <w:t>e</w:t>
      </w:r>
      <w:r w:rsidRPr="00133235">
        <w:rPr>
          <w:i/>
          <w:spacing w:val="6"/>
          <w:sz w:val="24"/>
          <w:szCs w:val="24"/>
        </w:rPr>
        <w:t>caudación teórica de la variación en el tráfico del corredor, tanto en los crecimientos como en las caídas, si bien el efecto se compensa a lo largo del tiempo.</w:t>
      </w:r>
    </w:p>
    <w:p w:rsidR="00BE2B23" w:rsidRPr="00133235" w:rsidRDefault="00BE2B23" w:rsidP="00BE2B23">
      <w:pPr>
        <w:autoSpaceDE w:val="0"/>
        <w:autoSpaceDN w:val="0"/>
        <w:adjustRightInd w:val="0"/>
        <w:spacing w:after="120"/>
        <w:ind w:firstLine="284"/>
        <w:rPr>
          <w:i/>
          <w:spacing w:val="6"/>
          <w:sz w:val="24"/>
          <w:szCs w:val="24"/>
        </w:rPr>
      </w:pPr>
      <w:r w:rsidRPr="00133235">
        <w:rPr>
          <w:i/>
          <w:spacing w:val="6"/>
          <w:sz w:val="24"/>
          <w:szCs w:val="24"/>
        </w:rPr>
        <w:t>Al determinarse la recaudación teórica de un ejercicio vinculado al anterior, la modificación de la fórmula en un ejercicio no afecta solo al resultado del año en cuestión sino al de los años futuros. Es por ello lógica la interpretación que se viene dando a la fórmula desde que se convino en 1999, entendiendo que cuando en la fó</w:t>
      </w:r>
      <w:r w:rsidRPr="00133235">
        <w:rPr>
          <w:i/>
          <w:spacing w:val="6"/>
          <w:sz w:val="24"/>
          <w:szCs w:val="24"/>
        </w:rPr>
        <w:t>r</w:t>
      </w:r>
      <w:r w:rsidRPr="00133235">
        <w:rPr>
          <w:i/>
          <w:spacing w:val="6"/>
          <w:sz w:val="24"/>
          <w:szCs w:val="24"/>
        </w:rPr>
        <w:t xml:space="preserve">mula se señala incremento, se refiere a variación, pudiendo ser positivo o negativo, y aplicándose de la misma manera tanto en los años de crecimiento como en </w:t>
      </w:r>
      <w:r w:rsidR="00A41F3D">
        <w:rPr>
          <w:i/>
          <w:spacing w:val="6"/>
          <w:sz w:val="24"/>
          <w:szCs w:val="24"/>
        </w:rPr>
        <w:t xml:space="preserve">los </w:t>
      </w:r>
      <w:r w:rsidRPr="00133235">
        <w:rPr>
          <w:i/>
          <w:spacing w:val="6"/>
          <w:sz w:val="24"/>
          <w:szCs w:val="24"/>
        </w:rPr>
        <w:t>años</w:t>
      </w:r>
      <w:r w:rsidR="00A41F3D">
        <w:rPr>
          <w:i/>
          <w:spacing w:val="6"/>
          <w:sz w:val="24"/>
          <w:szCs w:val="24"/>
        </w:rPr>
        <w:t xml:space="preserve"> en los que</w:t>
      </w:r>
      <w:r w:rsidRPr="00133235">
        <w:rPr>
          <w:i/>
          <w:spacing w:val="6"/>
          <w:sz w:val="24"/>
          <w:szCs w:val="24"/>
        </w:rPr>
        <w:t xml:space="preserve"> se ha producido una caída en el tráfico (de 2008 a 2013), ya que de lo contrario, la evolución de la recaudación teórica se desvincularía de la realidad del tráfico, al amplificarse con los crecimientos pero no con las caídas del mismo.</w:t>
      </w:r>
    </w:p>
    <w:p w:rsidR="00BE2B23" w:rsidRPr="00133235" w:rsidRDefault="00BE2B23" w:rsidP="00BE2B23">
      <w:pPr>
        <w:autoSpaceDE w:val="0"/>
        <w:autoSpaceDN w:val="0"/>
        <w:adjustRightInd w:val="0"/>
        <w:spacing w:after="120"/>
        <w:ind w:firstLine="284"/>
        <w:rPr>
          <w:i/>
          <w:spacing w:val="6"/>
          <w:sz w:val="24"/>
          <w:szCs w:val="24"/>
        </w:rPr>
      </w:pPr>
      <w:r w:rsidRPr="00133235">
        <w:rPr>
          <w:i/>
          <w:spacing w:val="6"/>
          <w:sz w:val="24"/>
          <w:szCs w:val="24"/>
        </w:rPr>
        <w:t>Por tanto, una cosa sería compensar a la empresa concesionaria por una pérdida en los términos del artículo 2.5, de la Ley Foral 7/2020 en el caso de concurrir los requisitos exigidos y cosa muy distinta es modificar de la aplicación de la fórmula a un ejercicio concreto, con las consiguientes implicaciones para toda la vida de la concesión.</w:t>
      </w:r>
    </w:p>
    <w:p w:rsidR="00BE2B23" w:rsidRPr="00133235" w:rsidRDefault="00BE2B23" w:rsidP="00BE2B23">
      <w:pPr>
        <w:autoSpaceDE w:val="0"/>
        <w:autoSpaceDN w:val="0"/>
        <w:adjustRightInd w:val="0"/>
        <w:spacing w:after="0"/>
        <w:ind w:firstLine="284"/>
        <w:rPr>
          <w:i/>
          <w:spacing w:val="6"/>
          <w:sz w:val="24"/>
          <w:szCs w:val="24"/>
        </w:rPr>
      </w:pPr>
      <w:r w:rsidRPr="00133235">
        <w:rPr>
          <w:i/>
          <w:spacing w:val="6"/>
          <w:sz w:val="24"/>
          <w:szCs w:val="24"/>
        </w:rPr>
        <w:t>Por ello, a juicio de esta Intervención General la interpretación que pretende i</w:t>
      </w:r>
      <w:r w:rsidRPr="00133235">
        <w:rPr>
          <w:i/>
          <w:spacing w:val="6"/>
          <w:sz w:val="24"/>
          <w:szCs w:val="24"/>
        </w:rPr>
        <w:t>m</w:t>
      </w:r>
      <w:r w:rsidRPr="00133235">
        <w:rPr>
          <w:i/>
          <w:spacing w:val="6"/>
          <w:sz w:val="24"/>
          <w:szCs w:val="24"/>
        </w:rPr>
        <w:t xml:space="preserve">poner la empresa recurrente al margen de todo procedimiento, excede con mucho lo </w:t>
      </w:r>
      <w:r w:rsidRPr="00133235">
        <w:rPr>
          <w:i/>
          <w:spacing w:val="6"/>
          <w:sz w:val="24"/>
          <w:szCs w:val="24"/>
        </w:rPr>
        <w:lastRenderedPageBreak/>
        <w:t>que constituiría una interpretación extensiva de las correspondientes cláusulas co</w:t>
      </w:r>
      <w:r w:rsidRPr="00133235">
        <w:rPr>
          <w:i/>
          <w:spacing w:val="6"/>
          <w:sz w:val="24"/>
          <w:szCs w:val="24"/>
        </w:rPr>
        <w:t>n</w:t>
      </w:r>
      <w:r w:rsidRPr="00133235">
        <w:rPr>
          <w:i/>
          <w:spacing w:val="6"/>
          <w:sz w:val="24"/>
          <w:szCs w:val="24"/>
        </w:rPr>
        <w:t>tractuales, yendo mucho más allá de sus estrictos términos, al introducir una autént</w:t>
      </w:r>
      <w:r w:rsidRPr="00133235">
        <w:rPr>
          <w:i/>
          <w:spacing w:val="6"/>
          <w:sz w:val="24"/>
          <w:szCs w:val="24"/>
        </w:rPr>
        <w:t>i</w:t>
      </w:r>
      <w:r w:rsidRPr="00133235">
        <w:rPr>
          <w:i/>
          <w:spacing w:val="6"/>
          <w:sz w:val="24"/>
          <w:szCs w:val="24"/>
        </w:rPr>
        <w:t>ca modificación de las cláusulas contractuales.</w:t>
      </w:r>
    </w:p>
    <w:p w:rsidR="00BE2B23" w:rsidRPr="006B420D" w:rsidRDefault="00BE2B23" w:rsidP="00BE2B23">
      <w:pPr>
        <w:autoSpaceDE w:val="0"/>
        <w:autoSpaceDN w:val="0"/>
        <w:adjustRightInd w:val="0"/>
        <w:spacing w:before="120" w:after="0"/>
        <w:ind w:firstLine="284"/>
        <w:rPr>
          <w:i/>
          <w:color w:val="FF0000"/>
          <w:sz w:val="24"/>
          <w:szCs w:val="24"/>
        </w:rPr>
      </w:pPr>
      <w:r w:rsidRPr="00133235">
        <w:rPr>
          <w:i/>
          <w:spacing w:val="6"/>
          <w:sz w:val="24"/>
          <w:szCs w:val="24"/>
        </w:rPr>
        <w:t>En un último orden de cosas, no tienen ninguna justificación sustituir el valor e</w:t>
      </w:r>
      <w:r w:rsidRPr="00133235">
        <w:rPr>
          <w:i/>
          <w:spacing w:val="6"/>
          <w:sz w:val="24"/>
          <w:szCs w:val="24"/>
        </w:rPr>
        <w:t>s</w:t>
      </w:r>
      <w:r w:rsidRPr="00133235">
        <w:rPr>
          <w:i/>
          <w:spacing w:val="6"/>
          <w:sz w:val="24"/>
          <w:szCs w:val="24"/>
        </w:rPr>
        <w:t>tablecido de 1,65 del coeficiente C, por un valor igual a uno en este ejercicio en co</w:t>
      </w:r>
      <w:r w:rsidRPr="00133235">
        <w:rPr>
          <w:i/>
          <w:spacing w:val="6"/>
          <w:sz w:val="24"/>
          <w:szCs w:val="24"/>
        </w:rPr>
        <w:t>n</w:t>
      </w:r>
      <w:r w:rsidRPr="00133235">
        <w:rPr>
          <w:i/>
          <w:spacing w:val="6"/>
          <w:sz w:val="24"/>
          <w:szCs w:val="24"/>
        </w:rPr>
        <w:t>creto, y no cualquier otro valor, volviendo posteriormente a la aplicación de la fó</w:t>
      </w:r>
      <w:r w:rsidRPr="00133235">
        <w:rPr>
          <w:i/>
          <w:spacing w:val="6"/>
          <w:sz w:val="24"/>
          <w:szCs w:val="24"/>
        </w:rPr>
        <w:t>r</w:t>
      </w:r>
      <w:r w:rsidRPr="00133235">
        <w:rPr>
          <w:i/>
          <w:spacing w:val="6"/>
          <w:sz w:val="24"/>
          <w:szCs w:val="24"/>
        </w:rPr>
        <w:t xml:space="preserve">mula tal y como se </w:t>
      </w:r>
      <w:r w:rsidRPr="00133235">
        <w:rPr>
          <w:i/>
          <w:sz w:val="24"/>
          <w:szCs w:val="24"/>
        </w:rPr>
        <w:t>previó originalmente...”.</w:t>
      </w:r>
    </w:p>
    <w:p w:rsidR="00BE2B23" w:rsidRDefault="00040D64" w:rsidP="00BE2B23">
      <w:pPr>
        <w:pStyle w:val="texto"/>
        <w:spacing w:before="120" w:after="120"/>
        <w:rPr>
          <w:szCs w:val="26"/>
        </w:rPr>
      </w:pPr>
      <w:r>
        <w:rPr>
          <w:szCs w:val="26"/>
        </w:rPr>
        <w:t>La Intervención General</w:t>
      </w:r>
      <w:r w:rsidR="00BE2B23">
        <w:rPr>
          <w:szCs w:val="26"/>
        </w:rPr>
        <w:t xml:space="preserve"> acaba concluyendo que la continuación de la ge</w:t>
      </w:r>
      <w:r w:rsidR="00BE2B23">
        <w:rPr>
          <w:szCs w:val="26"/>
        </w:rPr>
        <w:t>s</w:t>
      </w:r>
      <w:r w:rsidR="00BE2B23">
        <w:rPr>
          <w:szCs w:val="26"/>
        </w:rPr>
        <w:t>tión administrativa del expediente derivada de la propuesta de Acuerdo de G</w:t>
      </w:r>
      <w:r w:rsidR="00BE2B23">
        <w:rPr>
          <w:szCs w:val="26"/>
        </w:rPr>
        <w:t>o</w:t>
      </w:r>
      <w:r w:rsidR="00BE2B23">
        <w:rPr>
          <w:szCs w:val="26"/>
        </w:rPr>
        <w:t>bierno por el que se estima el recurso de alzada podría suponer quebrantos ec</w:t>
      </w:r>
      <w:r w:rsidR="00BE2B23">
        <w:rPr>
          <w:szCs w:val="26"/>
        </w:rPr>
        <w:t>o</w:t>
      </w:r>
      <w:r w:rsidR="00BE2B23">
        <w:rPr>
          <w:szCs w:val="26"/>
        </w:rPr>
        <w:t>nómicos a la Hacienda Pública de Navarra.</w:t>
      </w:r>
    </w:p>
    <w:p w:rsidR="00BE2B23" w:rsidRDefault="00BE2B23" w:rsidP="00BE2B23">
      <w:pPr>
        <w:pStyle w:val="texto"/>
        <w:spacing w:before="120" w:after="120"/>
        <w:rPr>
          <w:szCs w:val="26"/>
        </w:rPr>
      </w:pPr>
      <w:r>
        <w:rPr>
          <w:szCs w:val="26"/>
        </w:rPr>
        <w:t>El 23 de febrero de 2021, la delegada del Gobierno de Navarra y el Secret</w:t>
      </w:r>
      <w:r>
        <w:rPr>
          <w:szCs w:val="26"/>
        </w:rPr>
        <w:t>a</w:t>
      </w:r>
      <w:r>
        <w:rPr>
          <w:szCs w:val="26"/>
        </w:rPr>
        <w:t xml:space="preserve">rio General Técnico del Departamento de Economía y Hacienda emiten </w:t>
      </w:r>
      <w:r w:rsidR="00A41F3D">
        <w:rPr>
          <w:szCs w:val="26"/>
        </w:rPr>
        <w:t>sen</w:t>
      </w:r>
      <w:r>
        <w:rPr>
          <w:szCs w:val="26"/>
        </w:rPr>
        <w:t>dos informes sobre el informe</w:t>
      </w:r>
      <w:r w:rsidR="00DB19D1">
        <w:rPr>
          <w:szCs w:val="26"/>
        </w:rPr>
        <w:t xml:space="preserve"> anterior</w:t>
      </w:r>
      <w:r>
        <w:rPr>
          <w:szCs w:val="26"/>
        </w:rPr>
        <w:t xml:space="preserve"> de fiscalización </w:t>
      </w:r>
      <w:r w:rsidR="00DB19D1">
        <w:rPr>
          <w:szCs w:val="26"/>
        </w:rPr>
        <w:t>de la Intervención General</w:t>
      </w:r>
      <w:r>
        <w:rPr>
          <w:szCs w:val="26"/>
        </w:rPr>
        <w:t xml:space="preserve"> en los que manifiestan su disconformidad con el mismo.</w:t>
      </w:r>
    </w:p>
    <w:p w:rsidR="006C4DAC" w:rsidRDefault="00944870" w:rsidP="00133235">
      <w:pPr>
        <w:pStyle w:val="texto"/>
        <w:spacing w:before="120" w:after="120"/>
      </w:pPr>
      <w:r>
        <w:rPr>
          <w:szCs w:val="26"/>
        </w:rPr>
        <w:t>El 24 de febrero de 2021 se aprueban dos Acuerdos de Gobierno: uno reso</w:t>
      </w:r>
      <w:r>
        <w:rPr>
          <w:szCs w:val="26"/>
        </w:rPr>
        <w:t>l</w:t>
      </w:r>
      <w:r>
        <w:rPr>
          <w:szCs w:val="26"/>
        </w:rPr>
        <w:t xml:space="preserve">viendo la discrepancia entre la Intervención General y el Departamento de Economía y Hacienda sobre el abono de la factura de noviembre de 2020 a </w:t>
      </w:r>
      <w:proofErr w:type="spellStart"/>
      <w:r>
        <w:rPr>
          <w:szCs w:val="26"/>
        </w:rPr>
        <w:t>A</w:t>
      </w:r>
      <w:r>
        <w:rPr>
          <w:szCs w:val="26"/>
        </w:rPr>
        <w:t>u</w:t>
      </w:r>
      <w:r>
        <w:rPr>
          <w:szCs w:val="26"/>
        </w:rPr>
        <w:t>denasa</w:t>
      </w:r>
      <w:proofErr w:type="spellEnd"/>
      <w:r>
        <w:rPr>
          <w:szCs w:val="26"/>
        </w:rPr>
        <w:t xml:space="preserve">, en el sentido propuesto por el departamento; el segundo de ellos estima el recurso de alzada de </w:t>
      </w:r>
      <w:proofErr w:type="spellStart"/>
      <w:r>
        <w:rPr>
          <w:szCs w:val="26"/>
        </w:rPr>
        <w:t>Audenasa</w:t>
      </w:r>
      <w:proofErr w:type="spellEnd"/>
      <w:r>
        <w:rPr>
          <w:szCs w:val="26"/>
        </w:rPr>
        <w:t>, y ordena el pago de la factura de noviembre de 2020 por un total de 6,28 millones (teniendo en cuenta que ya se le había abonado 1,21 millones procedería el abono de los 5,07 millones restantes).</w:t>
      </w:r>
      <w:r w:rsidR="006C4DAC">
        <w:br w:type="page"/>
      </w:r>
    </w:p>
    <w:p w:rsidR="0049412A" w:rsidRPr="00341874" w:rsidRDefault="0049412A" w:rsidP="0049412A">
      <w:pPr>
        <w:pStyle w:val="atitulo1"/>
      </w:pPr>
      <w:bookmarkStart w:id="19" w:name="_Toc75089953"/>
      <w:bookmarkStart w:id="20" w:name="_Toc499802367"/>
      <w:bookmarkStart w:id="21" w:name="_Toc511912025"/>
      <w:bookmarkStart w:id="22" w:name="_Toc67394578"/>
      <w:r w:rsidRPr="00983EB9">
        <w:lastRenderedPageBreak/>
        <w:t xml:space="preserve">III. </w:t>
      </w:r>
      <w:r w:rsidRPr="00341874">
        <w:t>Objetivo</w:t>
      </w:r>
      <w:r w:rsidR="00FE2FB9">
        <w:t>s y</w:t>
      </w:r>
      <w:r>
        <w:t xml:space="preserve"> alcance</w:t>
      </w:r>
      <w:bookmarkEnd w:id="19"/>
      <w:r>
        <w:t xml:space="preserve"> </w:t>
      </w:r>
      <w:bookmarkEnd w:id="20"/>
      <w:bookmarkEnd w:id="21"/>
      <w:bookmarkEnd w:id="22"/>
    </w:p>
    <w:p w:rsidR="0049412A" w:rsidRDefault="0049412A" w:rsidP="0049412A">
      <w:pPr>
        <w:pStyle w:val="texto"/>
        <w:tabs>
          <w:tab w:val="clear" w:pos="2835"/>
          <w:tab w:val="clear" w:pos="3969"/>
          <w:tab w:val="clear" w:pos="5103"/>
          <w:tab w:val="clear" w:pos="6237"/>
          <w:tab w:val="clear" w:pos="7371"/>
        </w:tabs>
        <w:spacing w:after="100"/>
        <w:rPr>
          <w:szCs w:val="26"/>
        </w:rPr>
      </w:pPr>
      <w:r>
        <w:rPr>
          <w:szCs w:val="26"/>
        </w:rPr>
        <w:t>Teniendo en cuenta la petición parlamentaria recibida, los objetivos de este trabajo han sido:</w:t>
      </w:r>
    </w:p>
    <w:p w:rsidR="00F15075" w:rsidRDefault="00F15075"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 xml:space="preserve">Realizar una fiscalización de cumplimiento de legalidad </w:t>
      </w:r>
      <w:r w:rsidR="00E16110">
        <w:rPr>
          <w:szCs w:val="26"/>
        </w:rPr>
        <w:t>de los Acuerdos de Gobierno del 24 de febrero de 2021 referidos al</w:t>
      </w:r>
      <w:r w:rsidR="005F5B32">
        <w:rPr>
          <w:szCs w:val="26"/>
        </w:rPr>
        <w:t xml:space="preserve"> expe</w:t>
      </w:r>
      <w:r w:rsidR="00F36C25">
        <w:rPr>
          <w:szCs w:val="26"/>
        </w:rPr>
        <w:t xml:space="preserve">diente </w:t>
      </w:r>
      <w:r w:rsidR="005F5B32">
        <w:rPr>
          <w:szCs w:val="26"/>
        </w:rPr>
        <w:t>de</w:t>
      </w:r>
      <w:r>
        <w:rPr>
          <w:szCs w:val="26"/>
        </w:rPr>
        <w:t xml:space="preserve"> compensación de descuentos</w:t>
      </w:r>
      <w:r w:rsidR="00133235">
        <w:rPr>
          <w:szCs w:val="26"/>
        </w:rPr>
        <w:t xml:space="preserve"> de la ACFN derivados de la política comercial</w:t>
      </w:r>
      <w:r>
        <w:rPr>
          <w:szCs w:val="26"/>
        </w:rPr>
        <w:t xml:space="preserve"> a </w:t>
      </w:r>
      <w:proofErr w:type="spellStart"/>
      <w:r>
        <w:rPr>
          <w:szCs w:val="26"/>
        </w:rPr>
        <w:t>Audenasa</w:t>
      </w:r>
      <w:proofErr w:type="spellEnd"/>
      <w:r>
        <w:rPr>
          <w:szCs w:val="26"/>
        </w:rPr>
        <w:t xml:space="preserve"> c</w:t>
      </w:r>
      <w:r>
        <w:rPr>
          <w:szCs w:val="26"/>
        </w:rPr>
        <w:t>o</w:t>
      </w:r>
      <w:r>
        <w:rPr>
          <w:szCs w:val="26"/>
        </w:rPr>
        <w:t>rrespondiente a noviembre de 2020 por un total de 6,28 millones.</w:t>
      </w:r>
    </w:p>
    <w:p w:rsidR="0049412A" w:rsidRDefault="00F15075"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Efectuar</w:t>
      </w:r>
      <w:r w:rsidR="00EF0BDF">
        <w:rPr>
          <w:szCs w:val="26"/>
        </w:rPr>
        <w:t xml:space="preserve"> una fiscalización financiera </w:t>
      </w:r>
      <w:r>
        <w:rPr>
          <w:szCs w:val="26"/>
        </w:rPr>
        <w:t>de</w:t>
      </w:r>
      <w:r w:rsidR="00F36C25">
        <w:rPr>
          <w:szCs w:val="26"/>
        </w:rPr>
        <w:t xml:space="preserve">l </w:t>
      </w:r>
      <w:r w:rsidR="00A452E0">
        <w:rPr>
          <w:szCs w:val="26"/>
        </w:rPr>
        <w:t>anterior expediente</w:t>
      </w:r>
      <w:r w:rsidR="0049412A">
        <w:rPr>
          <w:szCs w:val="26"/>
        </w:rPr>
        <w:t>.</w:t>
      </w:r>
      <w:r w:rsidR="0049412A" w:rsidRPr="002408EB">
        <w:rPr>
          <w:szCs w:val="26"/>
        </w:rPr>
        <w:t xml:space="preserve"> </w:t>
      </w:r>
    </w:p>
    <w:p w:rsidR="0049412A" w:rsidRDefault="00EF0BDF"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 xml:space="preserve">Analizar los posibles efectos </w:t>
      </w:r>
      <w:r w:rsidR="00F15075">
        <w:rPr>
          <w:szCs w:val="26"/>
        </w:rPr>
        <w:t>de la aprobación</w:t>
      </w:r>
      <w:r w:rsidR="004D5A35">
        <w:rPr>
          <w:szCs w:val="26"/>
        </w:rPr>
        <w:t xml:space="preserve"> de la compensación del mes de noviembre de 2</w:t>
      </w:r>
      <w:r>
        <w:rPr>
          <w:szCs w:val="26"/>
        </w:rPr>
        <w:t xml:space="preserve">020 </w:t>
      </w:r>
      <w:r w:rsidR="004D5A35">
        <w:rPr>
          <w:szCs w:val="26"/>
        </w:rPr>
        <w:t xml:space="preserve">por 6,28 millones </w:t>
      </w:r>
      <w:r>
        <w:rPr>
          <w:szCs w:val="26"/>
        </w:rPr>
        <w:t>en los años siguientes hasta que final</w:t>
      </w:r>
      <w:r>
        <w:rPr>
          <w:szCs w:val="26"/>
        </w:rPr>
        <w:t>i</w:t>
      </w:r>
      <w:r>
        <w:rPr>
          <w:szCs w:val="26"/>
        </w:rPr>
        <w:t xml:space="preserve">ce la concesión en </w:t>
      </w:r>
      <w:r w:rsidRPr="00D22CC5">
        <w:rPr>
          <w:szCs w:val="26"/>
        </w:rPr>
        <w:t>2029</w:t>
      </w:r>
      <w:r w:rsidR="00294F01">
        <w:rPr>
          <w:szCs w:val="26"/>
        </w:rPr>
        <w:t xml:space="preserve"> si se cumplieran las previsiones del PEF actualizado en 2020</w:t>
      </w:r>
      <w:r w:rsidR="00F15075" w:rsidRPr="00D22CC5">
        <w:rPr>
          <w:szCs w:val="26"/>
        </w:rPr>
        <w:t xml:space="preserve">. </w:t>
      </w:r>
    </w:p>
    <w:p w:rsidR="0049412A" w:rsidRPr="005355B5" w:rsidRDefault="0049412A" w:rsidP="00EF0BDF">
      <w:pPr>
        <w:pStyle w:val="texto"/>
        <w:tabs>
          <w:tab w:val="clear" w:pos="2835"/>
          <w:tab w:val="clear" w:pos="3969"/>
          <w:tab w:val="clear" w:pos="5103"/>
          <w:tab w:val="clear" w:pos="6237"/>
          <w:tab w:val="clear" w:pos="7371"/>
          <w:tab w:val="left" w:pos="567"/>
        </w:tabs>
        <w:rPr>
          <w:szCs w:val="26"/>
        </w:rPr>
      </w:pPr>
      <w:r>
        <w:rPr>
          <w:szCs w:val="26"/>
        </w:rPr>
        <w:t xml:space="preserve">El alcance </w:t>
      </w:r>
      <w:r w:rsidR="00EF0BDF">
        <w:rPr>
          <w:szCs w:val="26"/>
        </w:rPr>
        <w:t>d</w:t>
      </w:r>
      <w:r>
        <w:rPr>
          <w:szCs w:val="26"/>
        </w:rPr>
        <w:t xml:space="preserve">e nuestro trabajo </w:t>
      </w:r>
      <w:r w:rsidR="00EF0BDF">
        <w:rPr>
          <w:szCs w:val="26"/>
        </w:rPr>
        <w:t>ha sido el siguiente</w:t>
      </w:r>
      <w:r w:rsidRPr="005355B5">
        <w:rPr>
          <w:szCs w:val="26"/>
        </w:rPr>
        <w:t xml:space="preserve">: </w:t>
      </w:r>
    </w:p>
    <w:p w:rsidR="0049412A"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Partidas pr</w:t>
      </w:r>
      <w:r w:rsidR="00EF0BDF">
        <w:rPr>
          <w:szCs w:val="26"/>
        </w:rPr>
        <w:t xml:space="preserve">esupuestarias relacionadas con la compensación por descuentos a </w:t>
      </w:r>
      <w:proofErr w:type="spellStart"/>
      <w:r w:rsidR="00EF0BDF">
        <w:rPr>
          <w:szCs w:val="26"/>
        </w:rPr>
        <w:t>Audenasa</w:t>
      </w:r>
      <w:proofErr w:type="spellEnd"/>
      <w:r w:rsidR="00EF0BDF">
        <w:rPr>
          <w:szCs w:val="26"/>
        </w:rPr>
        <w:t xml:space="preserve"> en el periodo 2008-202</w:t>
      </w:r>
      <w:r w:rsidR="00F15075">
        <w:rPr>
          <w:szCs w:val="26"/>
        </w:rPr>
        <w:t xml:space="preserve">1. </w:t>
      </w:r>
    </w:p>
    <w:p w:rsidR="00EF0BDF" w:rsidRDefault="00EF0BDF"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 xml:space="preserve">Expediente referido </w:t>
      </w:r>
      <w:r w:rsidR="00F15075">
        <w:rPr>
          <w:szCs w:val="26"/>
        </w:rPr>
        <w:t>a la aprobación de</w:t>
      </w:r>
      <w:r>
        <w:rPr>
          <w:szCs w:val="26"/>
        </w:rPr>
        <w:t xml:space="preserve"> la factura de noviembre de 2020 por compensación de descuentos a </w:t>
      </w:r>
      <w:proofErr w:type="spellStart"/>
      <w:r>
        <w:rPr>
          <w:szCs w:val="26"/>
        </w:rPr>
        <w:t>Audenasa</w:t>
      </w:r>
      <w:proofErr w:type="spellEnd"/>
      <w:r>
        <w:rPr>
          <w:szCs w:val="26"/>
        </w:rPr>
        <w:t xml:space="preserve">. </w:t>
      </w:r>
    </w:p>
    <w:p w:rsidR="00F36C25" w:rsidRDefault="00F36C25"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PEF acordado por el Consejo de Administración y aprobado por Acuerdo de Gobierno correspondiente al periodo 2014-</w:t>
      </w:r>
      <w:r w:rsidR="00133235">
        <w:rPr>
          <w:szCs w:val="26"/>
        </w:rPr>
        <w:t>2029 en 2014, y las actualizaci</w:t>
      </w:r>
      <w:r w:rsidR="00133235">
        <w:rPr>
          <w:szCs w:val="26"/>
        </w:rPr>
        <w:t>o</w:t>
      </w:r>
      <w:r w:rsidR="00133235">
        <w:rPr>
          <w:szCs w:val="26"/>
        </w:rPr>
        <w:t xml:space="preserve">nes realizadas </w:t>
      </w:r>
      <w:r w:rsidR="00A452E0">
        <w:rPr>
          <w:szCs w:val="26"/>
        </w:rPr>
        <w:t>para los años</w:t>
      </w:r>
      <w:r w:rsidR="00133235">
        <w:rPr>
          <w:szCs w:val="26"/>
        </w:rPr>
        <w:t xml:space="preserve"> 2019 y 2020</w:t>
      </w:r>
      <w:r>
        <w:rPr>
          <w:szCs w:val="26"/>
        </w:rPr>
        <w:t>.</w:t>
      </w:r>
    </w:p>
    <w:p w:rsidR="00EF0BDF" w:rsidRPr="00B94CC1" w:rsidRDefault="00EF0BDF"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 xml:space="preserve">Marco normativo que regula la relación entre la ACFN y </w:t>
      </w:r>
      <w:proofErr w:type="spellStart"/>
      <w:r>
        <w:rPr>
          <w:szCs w:val="26"/>
        </w:rPr>
        <w:t>Audenasa</w:t>
      </w:r>
      <w:proofErr w:type="spellEnd"/>
      <w:r>
        <w:rPr>
          <w:szCs w:val="26"/>
        </w:rPr>
        <w:t>.</w:t>
      </w:r>
    </w:p>
    <w:p w:rsidR="00F15075" w:rsidRDefault="00F15075" w:rsidP="00F15075">
      <w:pPr>
        <w:pStyle w:val="texto"/>
        <w:tabs>
          <w:tab w:val="clear" w:pos="2835"/>
          <w:tab w:val="clear" w:pos="3969"/>
          <w:tab w:val="clear" w:pos="5103"/>
          <w:tab w:val="clear" w:pos="6237"/>
          <w:tab w:val="clear" w:pos="7371"/>
          <w:tab w:val="left" w:pos="567"/>
        </w:tabs>
        <w:rPr>
          <w:b/>
          <w:color w:val="FF0000"/>
          <w:szCs w:val="26"/>
        </w:rPr>
      </w:pPr>
      <w:r>
        <w:rPr>
          <w:szCs w:val="26"/>
        </w:rPr>
        <w:t>Esta Cámara quiere señalar asimismo que el análisis realizado sobre los p</w:t>
      </w:r>
      <w:r>
        <w:rPr>
          <w:szCs w:val="26"/>
        </w:rPr>
        <w:t>o</w:t>
      </w:r>
      <w:r>
        <w:rPr>
          <w:szCs w:val="26"/>
        </w:rPr>
        <w:t>sibles efectos en el periodo 202</w:t>
      </w:r>
      <w:r w:rsidR="0013027E">
        <w:rPr>
          <w:szCs w:val="26"/>
        </w:rPr>
        <w:t>0</w:t>
      </w:r>
      <w:r>
        <w:rPr>
          <w:szCs w:val="26"/>
        </w:rPr>
        <w:t>-2029 se ha realizado conforme a los datos i</w:t>
      </w:r>
      <w:r>
        <w:rPr>
          <w:szCs w:val="26"/>
        </w:rPr>
        <w:t>n</w:t>
      </w:r>
      <w:r>
        <w:rPr>
          <w:szCs w:val="26"/>
        </w:rPr>
        <w:t>cluidos en el último PEF actualizado</w:t>
      </w:r>
      <w:r w:rsidR="001D24F3">
        <w:rPr>
          <w:rStyle w:val="Refdenotaalpie"/>
          <w:szCs w:val="26"/>
        </w:rPr>
        <w:footnoteReference w:id="3"/>
      </w:r>
      <w:r>
        <w:rPr>
          <w:szCs w:val="26"/>
        </w:rPr>
        <w:t>. Las cifras obtenidas son las derivadas de estos datos previstos</w:t>
      </w:r>
      <w:r w:rsidR="004D5A35">
        <w:rPr>
          <w:szCs w:val="26"/>
        </w:rPr>
        <w:t xml:space="preserve"> y son estimaciones que pueden no cumplirse</w:t>
      </w:r>
      <w:r>
        <w:rPr>
          <w:szCs w:val="26"/>
        </w:rPr>
        <w:t xml:space="preserve">; no obstante, entendemos que </w:t>
      </w:r>
      <w:r w:rsidR="006E1C88">
        <w:rPr>
          <w:szCs w:val="26"/>
        </w:rPr>
        <w:t>este hecho</w:t>
      </w:r>
      <w:r>
        <w:rPr>
          <w:szCs w:val="26"/>
        </w:rPr>
        <w:t xml:space="preserve"> no supondría una limitación a nuestro trabajo y no modificaría </w:t>
      </w:r>
      <w:r w:rsidR="00DB19D1">
        <w:rPr>
          <w:szCs w:val="26"/>
        </w:rPr>
        <w:t xml:space="preserve">significativamente </w:t>
      </w:r>
      <w:r>
        <w:rPr>
          <w:szCs w:val="26"/>
        </w:rPr>
        <w:t>nuestras conclusiones al respecto.</w:t>
      </w:r>
    </w:p>
    <w:p w:rsidR="00F15075" w:rsidRDefault="00F15075" w:rsidP="00EF0BDF">
      <w:pPr>
        <w:pStyle w:val="texto"/>
        <w:tabs>
          <w:tab w:val="clear" w:pos="2835"/>
          <w:tab w:val="clear" w:pos="3969"/>
          <w:tab w:val="clear" w:pos="5103"/>
          <w:tab w:val="clear" w:pos="6237"/>
          <w:tab w:val="clear" w:pos="7371"/>
          <w:tab w:val="left" w:pos="567"/>
        </w:tabs>
        <w:ind w:firstLine="0"/>
        <w:rPr>
          <w:b/>
          <w:color w:val="FF0000"/>
          <w:szCs w:val="26"/>
        </w:rPr>
      </w:pPr>
    </w:p>
    <w:p w:rsidR="00F15075" w:rsidRDefault="00F15075" w:rsidP="00EF0BDF">
      <w:pPr>
        <w:pStyle w:val="texto"/>
        <w:tabs>
          <w:tab w:val="clear" w:pos="2835"/>
          <w:tab w:val="clear" w:pos="3969"/>
          <w:tab w:val="clear" w:pos="5103"/>
          <w:tab w:val="clear" w:pos="6237"/>
          <w:tab w:val="clear" w:pos="7371"/>
          <w:tab w:val="left" w:pos="567"/>
        </w:tabs>
        <w:ind w:firstLine="0"/>
        <w:rPr>
          <w:b/>
          <w:color w:val="FF0000"/>
          <w:szCs w:val="26"/>
        </w:rPr>
      </w:pPr>
    </w:p>
    <w:p w:rsidR="00EF0BDF" w:rsidRDefault="00EF0BDF">
      <w:pPr>
        <w:spacing w:after="0"/>
        <w:ind w:firstLine="0"/>
        <w:jc w:val="left"/>
        <w:rPr>
          <w:rFonts w:ascii="Arial" w:hAnsi="Arial"/>
          <w:b/>
          <w:color w:val="000000"/>
          <w:kern w:val="28"/>
          <w:sz w:val="25"/>
          <w:szCs w:val="26"/>
        </w:rPr>
      </w:pPr>
      <w:bookmarkStart w:id="23" w:name="_Toc67394579"/>
      <w:r>
        <w:br w:type="page"/>
      </w:r>
    </w:p>
    <w:p w:rsidR="00676CA2" w:rsidRPr="00BB1925" w:rsidRDefault="00676CA2" w:rsidP="00676CA2">
      <w:pPr>
        <w:pStyle w:val="atitulo1"/>
      </w:pPr>
      <w:bookmarkStart w:id="24" w:name="_Toc75089954"/>
      <w:r>
        <w:lastRenderedPageBreak/>
        <w:t>I</w:t>
      </w:r>
      <w:r w:rsidRPr="00BB1925">
        <w:t>V. Conclusiones y recomendaciones</w:t>
      </w:r>
      <w:bookmarkEnd w:id="23"/>
      <w:bookmarkEnd w:id="24"/>
    </w:p>
    <w:p w:rsidR="00676CA2" w:rsidRPr="00F377C9" w:rsidRDefault="00676CA2" w:rsidP="002301DE">
      <w:pPr>
        <w:keepNext/>
        <w:spacing w:before="120" w:after="120"/>
        <w:ind w:firstLine="0"/>
        <w:rPr>
          <w:rFonts w:ascii="Arial" w:hAnsi="Arial"/>
          <w:i/>
          <w:iCs/>
          <w:color w:val="000000"/>
          <w:spacing w:val="10"/>
          <w:kern w:val="28"/>
          <w:sz w:val="25"/>
          <w:szCs w:val="26"/>
        </w:rPr>
      </w:pPr>
      <w:bookmarkStart w:id="25" w:name="_Toc499802369"/>
      <w:bookmarkStart w:id="26" w:name="_Toc511912027"/>
      <w:r w:rsidRPr="00F377C9">
        <w:rPr>
          <w:rFonts w:ascii="Arial" w:hAnsi="Arial"/>
          <w:i/>
          <w:iCs/>
          <w:color w:val="000000"/>
          <w:spacing w:val="10"/>
          <w:kern w:val="28"/>
          <w:sz w:val="25"/>
          <w:szCs w:val="26"/>
        </w:rPr>
        <w:t xml:space="preserve">Responsabilidad </w:t>
      </w:r>
      <w:r>
        <w:rPr>
          <w:rFonts w:ascii="Arial" w:hAnsi="Arial"/>
          <w:i/>
          <w:iCs/>
          <w:color w:val="000000"/>
          <w:spacing w:val="10"/>
          <w:kern w:val="28"/>
          <w:sz w:val="25"/>
          <w:szCs w:val="26"/>
        </w:rPr>
        <w:t>de la Administración de la Comunidad Foral de Navarra</w:t>
      </w:r>
      <w:r w:rsidRPr="00F377C9">
        <w:rPr>
          <w:rFonts w:ascii="Arial" w:hAnsi="Arial"/>
          <w:i/>
          <w:iCs/>
          <w:color w:val="000000"/>
          <w:spacing w:val="10"/>
          <w:kern w:val="28"/>
          <w:sz w:val="25"/>
          <w:szCs w:val="26"/>
        </w:rPr>
        <w:t xml:space="preserve"> </w:t>
      </w:r>
    </w:p>
    <w:p w:rsidR="00676CA2" w:rsidRDefault="009966E1" w:rsidP="002301DE">
      <w:pPr>
        <w:pStyle w:val="texto"/>
      </w:pPr>
      <w:r>
        <w:t>La persona delegada del Gobierno de Navarra es la responsable</w:t>
      </w:r>
      <w:r w:rsidR="00676CA2">
        <w:t xml:space="preserve"> de</w:t>
      </w:r>
      <w:r>
        <w:t xml:space="preserve"> </w:t>
      </w:r>
      <w:r>
        <w:rPr>
          <w:szCs w:val="26"/>
        </w:rPr>
        <w:t xml:space="preserve">analizar, revisar y controlar los cálculos que determinan la </w:t>
      </w:r>
      <w:r w:rsidR="004D5A35">
        <w:rPr>
          <w:szCs w:val="26"/>
        </w:rPr>
        <w:t>compensación</w:t>
      </w:r>
      <w:r>
        <w:rPr>
          <w:szCs w:val="26"/>
        </w:rPr>
        <w:t xml:space="preserve"> de la ACFN a </w:t>
      </w:r>
      <w:proofErr w:type="spellStart"/>
      <w:r>
        <w:rPr>
          <w:szCs w:val="26"/>
        </w:rPr>
        <w:t>Audenasa</w:t>
      </w:r>
      <w:proofErr w:type="spellEnd"/>
      <w:r>
        <w:rPr>
          <w:szCs w:val="26"/>
        </w:rPr>
        <w:t xml:space="preserve"> </w:t>
      </w:r>
      <w:r w:rsidR="004D5A35">
        <w:rPr>
          <w:szCs w:val="26"/>
        </w:rPr>
        <w:t>po</w:t>
      </w:r>
      <w:r>
        <w:rPr>
          <w:szCs w:val="26"/>
        </w:rPr>
        <w:t>r los descuentos practicados a los usuarios de la autopista</w:t>
      </w:r>
      <w:r w:rsidR="00676CA2">
        <w:t>, y de g</w:t>
      </w:r>
      <w:r w:rsidR="00676CA2">
        <w:t>a</w:t>
      </w:r>
      <w:r w:rsidR="00676CA2">
        <w:t xml:space="preserve">rantizar que </w:t>
      </w:r>
      <w:r>
        <w:t>las facturas correspondientes</w:t>
      </w:r>
      <w:r w:rsidR="00676CA2">
        <w:t xml:space="preserve"> resultan conformes con la normativa aplicable.</w:t>
      </w:r>
    </w:p>
    <w:p w:rsidR="00275577" w:rsidRPr="00C52381" w:rsidRDefault="00F14D76" w:rsidP="002301DE">
      <w:pPr>
        <w:pStyle w:val="texto"/>
      </w:pPr>
      <w:r w:rsidRPr="00C52381">
        <w:t>La Secretaría</w:t>
      </w:r>
      <w:r w:rsidR="00E5443F" w:rsidRPr="00C52381">
        <w:t xml:space="preserve"> General Técnic</w:t>
      </w:r>
      <w:r w:rsidRPr="00C52381">
        <w:t>a</w:t>
      </w:r>
      <w:r w:rsidR="00E5443F" w:rsidRPr="00C52381">
        <w:t xml:space="preserve"> del Departamento de Economía y Hacienda es la </w:t>
      </w:r>
      <w:r w:rsidRPr="00C52381">
        <w:t>unidad gestora</w:t>
      </w:r>
      <w:r w:rsidR="00E5443F" w:rsidRPr="00C52381">
        <w:t xml:space="preserve"> del contrato de concesión de la AP-15.</w:t>
      </w:r>
    </w:p>
    <w:p w:rsidR="00676CA2" w:rsidRDefault="00F15075" w:rsidP="00676CA2">
      <w:pPr>
        <w:pStyle w:val="texto"/>
      </w:pPr>
      <w:r>
        <w:t>L</w:t>
      </w:r>
      <w:r w:rsidR="00DB19D1">
        <w:t>a Interven</w:t>
      </w:r>
      <w:r w:rsidR="00676CA2">
        <w:t>ción</w:t>
      </w:r>
      <w:r w:rsidR="00DB19D1">
        <w:t xml:space="preserve"> General</w:t>
      </w:r>
      <w:r w:rsidR="007B47F2">
        <w:t xml:space="preserve"> </w:t>
      </w:r>
      <w:r w:rsidR="00676CA2">
        <w:t>es l</w:t>
      </w:r>
      <w:r>
        <w:t>a</w:t>
      </w:r>
      <w:r w:rsidR="00676CA2">
        <w:t xml:space="preserve"> responsable de establecer los sistemas de co</w:t>
      </w:r>
      <w:r w:rsidR="00676CA2">
        <w:t>n</w:t>
      </w:r>
      <w:r w:rsidR="00676CA2">
        <w:t xml:space="preserve">trol interno que considere necesarios para asegurar que </w:t>
      </w:r>
      <w:r>
        <w:t>el Departamento de Economía y Hacienda cumple</w:t>
      </w:r>
      <w:r w:rsidR="00676CA2">
        <w:t xml:space="preserve"> con lo establecido en el párrafo anterior.</w:t>
      </w:r>
    </w:p>
    <w:p w:rsidR="00676CA2" w:rsidRPr="00F377C9" w:rsidRDefault="00676CA2" w:rsidP="002301DE">
      <w:pPr>
        <w:keepNext/>
        <w:spacing w:before="240" w:after="12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Responsabilidad de la Cámara de Comptos de Navarra</w:t>
      </w:r>
    </w:p>
    <w:p w:rsidR="00676CA2" w:rsidRPr="00F377C9" w:rsidRDefault="00676CA2" w:rsidP="002301DE">
      <w:pPr>
        <w:pStyle w:val="texto"/>
      </w:pPr>
      <w:r w:rsidRPr="00F377C9">
        <w:t>Nuestra responsabilidad es</w:t>
      </w:r>
      <w:r>
        <w:t xml:space="preserve"> </w:t>
      </w:r>
      <w:r w:rsidRPr="00F377C9">
        <w:t>expresar una opinión sobre</w:t>
      </w:r>
      <w:r>
        <w:t xml:space="preserve"> la</w:t>
      </w:r>
      <w:r w:rsidR="00EF0BDF">
        <w:t xml:space="preserve"> </w:t>
      </w:r>
      <w:r w:rsidRPr="00F377C9">
        <w:t xml:space="preserve">legalidad </w:t>
      </w:r>
      <w:r w:rsidR="00EF0BDF">
        <w:t xml:space="preserve">del </w:t>
      </w:r>
      <w:r w:rsidR="005573EA">
        <w:t>pr</w:t>
      </w:r>
      <w:r w:rsidR="005573EA">
        <w:t>o</w:t>
      </w:r>
      <w:r w:rsidR="005573EA">
        <w:t xml:space="preserve">cedimiento seguido para la aprobación del </w:t>
      </w:r>
      <w:r w:rsidR="00EF0BDF">
        <w:t>abono de la factura por compens</w:t>
      </w:r>
      <w:r w:rsidR="00EF0BDF">
        <w:t>a</w:t>
      </w:r>
      <w:r w:rsidR="00EF0BDF">
        <w:t xml:space="preserve">ción de descuentos a </w:t>
      </w:r>
      <w:proofErr w:type="spellStart"/>
      <w:r w:rsidR="00EF0BDF">
        <w:t>Audenasa</w:t>
      </w:r>
      <w:proofErr w:type="spellEnd"/>
      <w:r w:rsidR="00EF0BDF">
        <w:t xml:space="preserve"> correspondiente </w:t>
      </w:r>
      <w:r w:rsidR="005573EA">
        <w:t>a</w:t>
      </w:r>
      <w:r w:rsidR="00EF0BDF">
        <w:t xml:space="preserve"> noviembre de 2020 </w:t>
      </w:r>
      <w:r>
        <w:t xml:space="preserve">y analizar </w:t>
      </w:r>
      <w:r w:rsidR="00EF0BDF">
        <w:t>los posibles efectos de la adopción de los criterios utilizados en los años s</w:t>
      </w:r>
      <w:r w:rsidR="00EF0BDF">
        <w:t>i</w:t>
      </w:r>
      <w:r w:rsidR="00EF0BDF">
        <w:t>guientes</w:t>
      </w:r>
      <w:r w:rsidRPr="00F377C9">
        <w:t xml:space="preserve">. </w:t>
      </w:r>
    </w:p>
    <w:p w:rsidR="00676CA2" w:rsidRPr="00F377C9" w:rsidRDefault="00676CA2" w:rsidP="00676CA2">
      <w:pPr>
        <w:pStyle w:val="texto"/>
      </w:pPr>
      <w:r w:rsidRPr="00F377C9">
        <w:t>Para ello, hemos llevado a cabo</w:t>
      </w:r>
      <w:r>
        <w:t xml:space="preserve"> nuestra fiscalización </w:t>
      </w:r>
      <w:r w:rsidRPr="00F377C9">
        <w:t>de conformidad con los principios fundamentales de fiscalización de las Instituciones Públicas de Co</w:t>
      </w:r>
      <w:r w:rsidRPr="00F377C9">
        <w:t>n</w:t>
      </w:r>
      <w:r w:rsidRPr="00F377C9">
        <w:t>trol Externo</w:t>
      </w:r>
      <w:r>
        <w:t xml:space="preserve"> </w:t>
      </w:r>
      <w:r w:rsidRPr="00D2333B">
        <w:t>y más en concreto,</w:t>
      </w:r>
      <w:r>
        <w:t xml:space="preserve"> con</w:t>
      </w:r>
      <w:r w:rsidRPr="00D2333B">
        <w:t xml:space="preserve"> las ISSAI-ES </w:t>
      </w:r>
      <w:r w:rsidR="00EF0BDF">
        <w:t>2</w:t>
      </w:r>
      <w:r w:rsidRPr="00D2333B">
        <w:t>00</w:t>
      </w:r>
      <w:r>
        <w:t xml:space="preserve"> y </w:t>
      </w:r>
      <w:r w:rsidR="00EF0BDF">
        <w:t>4</w:t>
      </w:r>
      <w:r>
        <w:t>00 referidas respect</w:t>
      </w:r>
      <w:r>
        <w:t>i</w:t>
      </w:r>
      <w:r>
        <w:t>vamente a las fiscalizaciones</w:t>
      </w:r>
      <w:r w:rsidR="00EF0BDF">
        <w:t xml:space="preserve"> financieras y</w:t>
      </w:r>
      <w:r>
        <w:t xml:space="preserve"> </w:t>
      </w:r>
      <w:r w:rsidRPr="00D2333B">
        <w:t>de cumplimiento</w:t>
      </w:r>
      <w:r>
        <w:t xml:space="preserve"> de legalidad</w:t>
      </w:r>
      <w:r w:rsidR="00B624BD">
        <w:t>.</w:t>
      </w:r>
      <w:r w:rsidRPr="00EF0BDF">
        <w:rPr>
          <w:color w:val="FF0000"/>
        </w:rPr>
        <w:t xml:space="preserve"> </w:t>
      </w:r>
      <w:r w:rsidRPr="00F377C9">
        <w:t>D</w:t>
      </w:r>
      <w:r w:rsidRPr="00F377C9">
        <w:t>i</w:t>
      </w:r>
      <w:r w:rsidRPr="00F377C9">
        <w:t>chos principios exigen que cumplamos los requerimientos de ética, así como que planifiquemos y ejecutemos la fiscalización con el fin de obtener una seg</w:t>
      </w:r>
      <w:r w:rsidRPr="00F377C9">
        <w:t>u</w:t>
      </w:r>
      <w:r w:rsidRPr="00F377C9">
        <w:t xml:space="preserve">ridad razonable de que </w:t>
      </w:r>
      <w:r>
        <w:t>las</w:t>
      </w:r>
      <w:r w:rsidRPr="00F377C9">
        <w:t xml:space="preserve"> actividades</w:t>
      </w:r>
      <w:r>
        <w:t xml:space="preserve"> realizadas,</w:t>
      </w:r>
      <w:r w:rsidRPr="00F377C9">
        <w:t xml:space="preserve"> y la información reflejada en los estados financieros resultan, en todos los aspectos significativos, conformes con la normativa vigente. </w:t>
      </w:r>
    </w:p>
    <w:p w:rsidR="00676CA2" w:rsidRDefault="00676CA2" w:rsidP="00676CA2">
      <w:pPr>
        <w:pStyle w:val="texto"/>
      </w:pPr>
      <w:r w:rsidRPr="00F377C9">
        <w:t>Una fiscalización requiere la aplicación de procedimientos para obtener ev</w:t>
      </w:r>
      <w:r w:rsidRPr="00F377C9">
        <w:t>i</w:t>
      </w:r>
      <w:r w:rsidRPr="00F377C9">
        <w:t xml:space="preserve">dencia de auditoría sobre los importes y la información </w:t>
      </w:r>
      <w:r w:rsidR="00EF0BDF">
        <w:t>contenida en este caso en la factura de noviembre de 2020</w:t>
      </w:r>
      <w:r w:rsidRPr="00F377C9">
        <w:t xml:space="preserve"> y sobre el cumplimiento de los aspectos r</w:t>
      </w:r>
      <w:r w:rsidRPr="00F377C9">
        <w:t>e</w:t>
      </w:r>
      <w:r w:rsidRPr="00F377C9">
        <w:t xml:space="preserve">levantes establecidos en la normativa </w:t>
      </w:r>
      <w:r w:rsidR="00EF0BDF">
        <w:t>al respecto</w:t>
      </w:r>
      <w:r w:rsidRPr="00F377C9">
        <w:t>. Los procedimientos selecci</w:t>
      </w:r>
      <w:r w:rsidRPr="00F377C9">
        <w:t>o</w:t>
      </w:r>
      <w:r w:rsidRPr="00F377C9">
        <w:t>nados dependen del juicio del auditor, incluida la valoración de los riesgos ta</w:t>
      </w:r>
      <w:r w:rsidRPr="00F377C9">
        <w:t>n</w:t>
      </w:r>
      <w:r w:rsidRPr="00F377C9">
        <w:t xml:space="preserve">to de incorrección material en </w:t>
      </w:r>
      <w:r w:rsidR="00EF0BDF">
        <w:t>la factura</w:t>
      </w:r>
      <w:r w:rsidRPr="00F377C9">
        <w:t>, debida a fraude o error, como de i</w:t>
      </w:r>
      <w:r w:rsidRPr="00F377C9">
        <w:t>n</w:t>
      </w:r>
      <w:r w:rsidRPr="00F377C9">
        <w:t xml:space="preserve">cumplimientos significativos de la legalidad. Al efectuar dichas valoraciones del riesgo, el auditor tiene en cuenta el control interno relevante para </w:t>
      </w:r>
      <w:r>
        <w:t>la imp</w:t>
      </w:r>
      <w:r>
        <w:t>u</w:t>
      </w:r>
      <w:r>
        <w:t xml:space="preserve">tación </w:t>
      </w:r>
      <w:r w:rsidRPr="00F377C9">
        <w:t xml:space="preserve">por parte de la entidad </w:t>
      </w:r>
      <w:r w:rsidR="00EF0BDF">
        <w:t>del gasto en la partida</w:t>
      </w:r>
      <w:r>
        <w:t xml:space="preserve"> presupuestaria</w:t>
      </w:r>
      <w:r w:rsidR="00EF0BDF">
        <w:t xml:space="preserve"> correspo</w:t>
      </w:r>
      <w:r w:rsidR="00EF0BDF">
        <w:t>n</w:t>
      </w:r>
      <w:r w:rsidR="00EF0BDF">
        <w:t>diente</w:t>
      </w:r>
      <w:r w:rsidRPr="00F377C9">
        <w:t xml:space="preserve"> y para garantizar el cumplimiento de la legalidad, con el fin de diseñar los procedimientos de auditoría que sean adecuados en función de las circun</w:t>
      </w:r>
      <w:r w:rsidRPr="00F377C9">
        <w:t>s</w:t>
      </w:r>
      <w:r w:rsidRPr="00F377C9">
        <w:lastRenderedPageBreak/>
        <w:t>tancias, y no con la finalidad de expresar una opinión sobre la eficacia del co</w:t>
      </w:r>
      <w:r w:rsidRPr="00F377C9">
        <w:t>n</w:t>
      </w:r>
      <w:r w:rsidRPr="00F377C9">
        <w:t xml:space="preserve">trol interno de la entidad. </w:t>
      </w:r>
    </w:p>
    <w:p w:rsidR="00676CA2" w:rsidRPr="00F377C9" w:rsidRDefault="00676CA2" w:rsidP="00676CA2">
      <w:pPr>
        <w:pStyle w:val="texto"/>
      </w:pPr>
      <w:r w:rsidRPr="00F377C9">
        <w:t>Una auditoría también incluye la evaluación de la adecuación de las políticas contables aplicadas y de la razonabilidad de las estimaciones contables realiz</w:t>
      </w:r>
      <w:r w:rsidRPr="00F377C9">
        <w:t>a</w:t>
      </w:r>
      <w:r w:rsidRPr="00F377C9">
        <w:t xml:space="preserve">das por la dirección, así como la evaluación de la presentación de la </w:t>
      </w:r>
      <w:r>
        <w:t>partida presupuestaria analizada</w:t>
      </w:r>
      <w:r w:rsidRPr="00F377C9">
        <w:t>.</w:t>
      </w:r>
    </w:p>
    <w:p w:rsidR="00676CA2" w:rsidRPr="00DB163A" w:rsidRDefault="00676CA2" w:rsidP="00676CA2">
      <w:pPr>
        <w:pStyle w:val="texto"/>
        <w:spacing w:after="240"/>
        <w:rPr>
          <w:b/>
          <w:color w:val="FF0000"/>
        </w:rPr>
      </w:pPr>
      <w:r w:rsidRPr="00F377C9">
        <w:t>Consideramos que la evidencia de auditoría que hemos obtenido proporciona una base suficiente y adecuada p</w:t>
      </w:r>
      <w:r>
        <w:t>ara fundamentar nuestra opinión</w:t>
      </w:r>
      <w:r w:rsidR="00EF0BDF">
        <w:t xml:space="preserve"> y conclusi</w:t>
      </w:r>
      <w:r w:rsidR="00EF0BDF">
        <w:t>o</w:t>
      </w:r>
      <w:r w:rsidR="00EF0BDF">
        <w:t>nes</w:t>
      </w:r>
      <w:r w:rsidRPr="00AD43EF">
        <w:t>.</w:t>
      </w:r>
    </w:p>
    <w:p w:rsidR="00EF0BDF" w:rsidRDefault="00EF0BDF" w:rsidP="00EF0BDF">
      <w:pPr>
        <w:pStyle w:val="atitulo2"/>
      </w:pPr>
      <w:bookmarkStart w:id="27" w:name="_Toc75089955"/>
      <w:bookmarkEnd w:id="25"/>
      <w:bookmarkEnd w:id="26"/>
      <w:r w:rsidRPr="00FF3E46">
        <w:t>IV.</w:t>
      </w:r>
      <w:r w:rsidR="00C578DD">
        <w:t>1</w:t>
      </w:r>
      <w:r w:rsidR="001F3FAF">
        <w:t>.</w:t>
      </w:r>
      <w:r w:rsidRPr="00FF3E46">
        <w:t xml:space="preserve"> </w:t>
      </w:r>
      <w:r>
        <w:t>Opinión de fiscalización de cumplimiento de legalidad</w:t>
      </w:r>
      <w:bookmarkEnd w:id="27"/>
    </w:p>
    <w:p w:rsidR="00644BE1" w:rsidRDefault="00644BE1" w:rsidP="00644BE1">
      <w:pPr>
        <w:keepNext/>
        <w:spacing w:before="240" w:after="12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 xml:space="preserve">Fundamento de la opinión </w:t>
      </w:r>
      <w:r>
        <w:rPr>
          <w:rFonts w:ascii="Arial" w:hAnsi="Arial"/>
          <w:i/>
          <w:iCs/>
          <w:color w:val="000000"/>
          <w:spacing w:val="10"/>
          <w:kern w:val="28"/>
          <w:sz w:val="25"/>
          <w:szCs w:val="26"/>
        </w:rPr>
        <w:t>de legalidad</w:t>
      </w:r>
      <w:r w:rsidRPr="00F377C9">
        <w:rPr>
          <w:rFonts w:ascii="Arial" w:hAnsi="Arial"/>
          <w:i/>
          <w:iCs/>
          <w:color w:val="000000"/>
          <w:spacing w:val="10"/>
          <w:kern w:val="28"/>
          <w:sz w:val="25"/>
          <w:szCs w:val="26"/>
        </w:rPr>
        <w:t xml:space="preserve"> </w:t>
      </w:r>
    </w:p>
    <w:p w:rsidR="00DF0F66" w:rsidRDefault="00DF0F66" w:rsidP="00DF0F66">
      <w:pPr>
        <w:pStyle w:val="texto"/>
        <w:tabs>
          <w:tab w:val="clear" w:pos="2835"/>
          <w:tab w:val="clear" w:pos="3969"/>
          <w:tab w:val="clear" w:pos="5103"/>
          <w:tab w:val="clear" w:pos="6237"/>
          <w:tab w:val="clear" w:pos="7371"/>
        </w:tabs>
        <w:spacing w:after="100"/>
        <w:ind w:firstLine="289"/>
        <w:rPr>
          <w:szCs w:val="26"/>
        </w:rPr>
      </w:pPr>
      <w:r>
        <w:rPr>
          <w:szCs w:val="26"/>
        </w:rPr>
        <w:t>La posibilidad de que la administración modifique el sentido de sus actos respecto a las decisiones tomadas con anterioridad, está expresamente recogida en el artículo 35 de la Ley 39/2015, de 1 de octubre, de Procedimiento Adm</w:t>
      </w:r>
      <w:r>
        <w:rPr>
          <w:szCs w:val="26"/>
        </w:rPr>
        <w:t>i</w:t>
      </w:r>
      <w:r>
        <w:rPr>
          <w:szCs w:val="26"/>
        </w:rPr>
        <w:t xml:space="preserve">nistrativo Común de las Administraciones Públicas. </w:t>
      </w:r>
    </w:p>
    <w:p w:rsidR="00DF0F66" w:rsidRDefault="00DF0F66" w:rsidP="00DF0F66">
      <w:pPr>
        <w:pStyle w:val="texto"/>
        <w:tabs>
          <w:tab w:val="clear" w:pos="2835"/>
          <w:tab w:val="clear" w:pos="3969"/>
          <w:tab w:val="clear" w:pos="5103"/>
          <w:tab w:val="clear" w:pos="6237"/>
          <w:tab w:val="clear" w:pos="7371"/>
        </w:tabs>
        <w:spacing w:after="240"/>
        <w:ind w:firstLine="289"/>
        <w:rPr>
          <w:szCs w:val="26"/>
        </w:rPr>
      </w:pPr>
      <w:r>
        <w:rPr>
          <w:szCs w:val="26"/>
        </w:rPr>
        <w:t>Esta norma le exige a la administración una motivación específica que just</w:t>
      </w:r>
      <w:r>
        <w:rPr>
          <w:szCs w:val="26"/>
        </w:rPr>
        <w:t>i</w:t>
      </w:r>
      <w:r>
        <w:rPr>
          <w:szCs w:val="26"/>
        </w:rPr>
        <w:t>fique esa decisión diferente; así, ante supuestos iguales lo esperable es una s</w:t>
      </w:r>
      <w:r>
        <w:rPr>
          <w:szCs w:val="26"/>
        </w:rPr>
        <w:t>o</w:t>
      </w:r>
      <w:r>
        <w:rPr>
          <w:szCs w:val="26"/>
        </w:rPr>
        <w:t>lución igual si se dan idénticas circunstancias. En este caso, si bien se habían producido variaciones del tráfico negativas con anterioridad, y se había aplic</w:t>
      </w:r>
      <w:r>
        <w:rPr>
          <w:szCs w:val="26"/>
        </w:rPr>
        <w:t>a</w:t>
      </w:r>
      <w:r>
        <w:rPr>
          <w:szCs w:val="26"/>
        </w:rPr>
        <w:t>do el coeficiente C con el valor que correspondía según el convenio, en 2020, el descenso del tráfico respecto al año anterior es mucho más significativo que el existente en los años en los que el tráfico también había disminuido, tal y como se muestra en el siguiente cuadro:</w:t>
      </w:r>
    </w:p>
    <w:tbl>
      <w:tblPr>
        <w:tblStyle w:val="Tablaconcuadrcul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039"/>
        <w:gridCol w:w="994"/>
        <w:gridCol w:w="996"/>
        <w:gridCol w:w="996"/>
        <w:gridCol w:w="994"/>
        <w:gridCol w:w="996"/>
        <w:gridCol w:w="996"/>
        <w:gridCol w:w="994"/>
      </w:tblGrid>
      <w:tr w:rsidR="00C33E41" w:rsidRPr="00C33E41" w:rsidTr="00C33E41">
        <w:trPr>
          <w:trHeight w:val="255"/>
        </w:trPr>
        <w:tc>
          <w:tcPr>
            <w:tcW w:w="1132" w:type="pct"/>
            <w:tcBorders>
              <w:bottom w:val="single" w:sz="4" w:space="0" w:color="auto"/>
            </w:tcBorders>
            <w:shd w:val="clear" w:color="auto" w:fill="8DB3E2"/>
            <w:vAlign w:val="center"/>
          </w:tcPr>
          <w:p w:rsidR="00DF0F66" w:rsidRPr="00C33E41" w:rsidRDefault="00DF0F66" w:rsidP="00C33E41">
            <w:pPr>
              <w:pStyle w:val="texto"/>
              <w:tabs>
                <w:tab w:val="clear" w:pos="2835"/>
                <w:tab w:val="clear" w:pos="3969"/>
                <w:tab w:val="clear" w:pos="5103"/>
                <w:tab w:val="clear" w:pos="6237"/>
                <w:tab w:val="clear" w:pos="7371"/>
              </w:tabs>
              <w:spacing w:after="100"/>
              <w:ind w:firstLine="0"/>
              <w:jc w:val="left"/>
              <w:rPr>
                <w:rFonts w:ascii="Arial" w:hAnsi="Arial" w:cs="Arial"/>
                <w:sz w:val="18"/>
                <w:szCs w:val="18"/>
              </w:rPr>
            </w:pPr>
          </w:p>
        </w:tc>
        <w:tc>
          <w:tcPr>
            <w:tcW w:w="552" w:type="pct"/>
            <w:tcBorders>
              <w:bottom w:val="single" w:sz="4" w:space="0" w:color="auto"/>
            </w:tcBorders>
            <w:shd w:val="clear" w:color="auto" w:fill="8DB3E2"/>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C33E41">
              <w:rPr>
                <w:rFonts w:ascii="Arial" w:hAnsi="Arial" w:cs="Arial"/>
                <w:sz w:val="18"/>
                <w:szCs w:val="18"/>
              </w:rPr>
              <w:t>2008</w:t>
            </w:r>
          </w:p>
        </w:tc>
        <w:tc>
          <w:tcPr>
            <w:tcW w:w="553" w:type="pct"/>
            <w:tcBorders>
              <w:bottom w:val="single" w:sz="4" w:space="0" w:color="auto"/>
            </w:tcBorders>
            <w:shd w:val="clear" w:color="auto" w:fill="8DB3E2"/>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C33E41">
              <w:rPr>
                <w:rFonts w:ascii="Arial" w:hAnsi="Arial" w:cs="Arial"/>
                <w:sz w:val="18"/>
                <w:szCs w:val="18"/>
              </w:rPr>
              <w:t>2009</w:t>
            </w:r>
          </w:p>
        </w:tc>
        <w:tc>
          <w:tcPr>
            <w:tcW w:w="553" w:type="pct"/>
            <w:tcBorders>
              <w:bottom w:val="single" w:sz="4" w:space="0" w:color="auto"/>
            </w:tcBorders>
            <w:shd w:val="clear" w:color="auto" w:fill="8DB3E2"/>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C33E41">
              <w:rPr>
                <w:rFonts w:ascii="Arial" w:hAnsi="Arial" w:cs="Arial"/>
                <w:sz w:val="18"/>
                <w:szCs w:val="18"/>
              </w:rPr>
              <w:t>2010</w:t>
            </w:r>
          </w:p>
        </w:tc>
        <w:tc>
          <w:tcPr>
            <w:tcW w:w="552" w:type="pct"/>
            <w:tcBorders>
              <w:bottom w:val="single" w:sz="4" w:space="0" w:color="auto"/>
            </w:tcBorders>
            <w:shd w:val="clear" w:color="auto" w:fill="8DB3E2"/>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C33E41">
              <w:rPr>
                <w:rFonts w:ascii="Arial" w:hAnsi="Arial" w:cs="Arial"/>
                <w:sz w:val="18"/>
                <w:szCs w:val="18"/>
              </w:rPr>
              <w:t>2011</w:t>
            </w:r>
          </w:p>
        </w:tc>
        <w:tc>
          <w:tcPr>
            <w:tcW w:w="553" w:type="pct"/>
            <w:tcBorders>
              <w:bottom w:val="single" w:sz="4" w:space="0" w:color="auto"/>
            </w:tcBorders>
            <w:shd w:val="clear" w:color="auto" w:fill="8DB3E2"/>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C33E41">
              <w:rPr>
                <w:rFonts w:ascii="Arial" w:hAnsi="Arial" w:cs="Arial"/>
                <w:sz w:val="18"/>
                <w:szCs w:val="18"/>
              </w:rPr>
              <w:t>2012</w:t>
            </w:r>
          </w:p>
        </w:tc>
        <w:tc>
          <w:tcPr>
            <w:tcW w:w="553" w:type="pct"/>
            <w:tcBorders>
              <w:bottom w:val="single" w:sz="4" w:space="0" w:color="auto"/>
            </w:tcBorders>
            <w:shd w:val="clear" w:color="auto" w:fill="8DB3E2"/>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C33E41">
              <w:rPr>
                <w:rFonts w:ascii="Arial" w:hAnsi="Arial" w:cs="Arial"/>
                <w:sz w:val="18"/>
                <w:szCs w:val="18"/>
              </w:rPr>
              <w:t>2013</w:t>
            </w:r>
          </w:p>
        </w:tc>
        <w:tc>
          <w:tcPr>
            <w:tcW w:w="553" w:type="pct"/>
            <w:tcBorders>
              <w:bottom w:val="single" w:sz="4" w:space="0" w:color="auto"/>
            </w:tcBorders>
            <w:shd w:val="clear" w:color="auto" w:fill="8DB3E2"/>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C33E41">
              <w:rPr>
                <w:rFonts w:ascii="Arial" w:hAnsi="Arial" w:cs="Arial"/>
                <w:sz w:val="18"/>
                <w:szCs w:val="18"/>
              </w:rPr>
              <w:t>2020</w:t>
            </w:r>
          </w:p>
        </w:tc>
      </w:tr>
      <w:tr w:rsidR="00C33E41" w:rsidRPr="00C33E41" w:rsidTr="00C33E41">
        <w:trPr>
          <w:trHeight w:val="198"/>
        </w:trPr>
        <w:tc>
          <w:tcPr>
            <w:tcW w:w="1132" w:type="pct"/>
            <w:tcBorders>
              <w:top w:val="single" w:sz="4" w:space="0" w:color="auto"/>
              <w:bottom w:val="single" w:sz="4" w:space="0" w:color="auto"/>
            </w:tcBorders>
            <w:shd w:val="clear" w:color="auto" w:fill="auto"/>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C33E41">
              <w:rPr>
                <w:rFonts w:ascii="Arial Narrow" w:hAnsi="Arial Narrow"/>
                <w:sz w:val="20"/>
                <w:szCs w:val="20"/>
              </w:rPr>
              <w:t>% disminución tráfico</w:t>
            </w:r>
          </w:p>
        </w:tc>
        <w:tc>
          <w:tcPr>
            <w:tcW w:w="552" w:type="pct"/>
            <w:tcBorders>
              <w:top w:val="single" w:sz="4" w:space="0" w:color="auto"/>
              <w:bottom w:val="single" w:sz="4" w:space="0" w:color="auto"/>
            </w:tcBorders>
            <w:shd w:val="clear" w:color="auto" w:fill="auto"/>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C33E41">
              <w:rPr>
                <w:rFonts w:ascii="Arial Narrow" w:hAnsi="Arial Narrow"/>
                <w:sz w:val="20"/>
                <w:szCs w:val="20"/>
              </w:rPr>
              <w:t>-0,88</w:t>
            </w:r>
          </w:p>
        </w:tc>
        <w:tc>
          <w:tcPr>
            <w:tcW w:w="553" w:type="pct"/>
            <w:tcBorders>
              <w:top w:val="single" w:sz="4" w:space="0" w:color="auto"/>
              <w:bottom w:val="single" w:sz="4" w:space="0" w:color="auto"/>
            </w:tcBorders>
            <w:shd w:val="clear" w:color="auto" w:fill="auto"/>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C33E41">
              <w:rPr>
                <w:rFonts w:ascii="Arial Narrow" w:hAnsi="Arial Narrow"/>
                <w:sz w:val="20"/>
                <w:szCs w:val="20"/>
              </w:rPr>
              <w:t>-3,61</w:t>
            </w:r>
          </w:p>
        </w:tc>
        <w:tc>
          <w:tcPr>
            <w:tcW w:w="553" w:type="pct"/>
            <w:tcBorders>
              <w:top w:val="single" w:sz="4" w:space="0" w:color="auto"/>
              <w:bottom w:val="single" w:sz="4" w:space="0" w:color="auto"/>
            </w:tcBorders>
            <w:shd w:val="clear" w:color="auto" w:fill="auto"/>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C33E41">
              <w:rPr>
                <w:rFonts w:ascii="Arial Narrow" w:hAnsi="Arial Narrow"/>
                <w:sz w:val="20"/>
                <w:szCs w:val="20"/>
              </w:rPr>
              <w:t>-0,63</w:t>
            </w:r>
          </w:p>
        </w:tc>
        <w:tc>
          <w:tcPr>
            <w:tcW w:w="552" w:type="pct"/>
            <w:tcBorders>
              <w:top w:val="single" w:sz="4" w:space="0" w:color="auto"/>
              <w:bottom w:val="single" w:sz="4" w:space="0" w:color="auto"/>
            </w:tcBorders>
            <w:shd w:val="clear" w:color="auto" w:fill="auto"/>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C33E41">
              <w:rPr>
                <w:rFonts w:ascii="Arial Narrow" w:hAnsi="Arial Narrow"/>
                <w:sz w:val="20"/>
                <w:szCs w:val="20"/>
              </w:rPr>
              <w:t>-1,07</w:t>
            </w:r>
          </w:p>
        </w:tc>
        <w:tc>
          <w:tcPr>
            <w:tcW w:w="553" w:type="pct"/>
            <w:tcBorders>
              <w:top w:val="single" w:sz="4" w:space="0" w:color="auto"/>
              <w:bottom w:val="single" w:sz="4" w:space="0" w:color="auto"/>
            </w:tcBorders>
            <w:shd w:val="clear" w:color="auto" w:fill="auto"/>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C33E41">
              <w:rPr>
                <w:rFonts w:ascii="Arial Narrow" w:hAnsi="Arial Narrow"/>
                <w:sz w:val="20"/>
                <w:szCs w:val="20"/>
              </w:rPr>
              <w:t>-8,17</w:t>
            </w:r>
          </w:p>
        </w:tc>
        <w:tc>
          <w:tcPr>
            <w:tcW w:w="553" w:type="pct"/>
            <w:tcBorders>
              <w:top w:val="single" w:sz="4" w:space="0" w:color="auto"/>
              <w:bottom w:val="single" w:sz="4" w:space="0" w:color="auto"/>
            </w:tcBorders>
            <w:shd w:val="clear" w:color="auto" w:fill="auto"/>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C33E41">
              <w:rPr>
                <w:rFonts w:ascii="Arial Narrow" w:hAnsi="Arial Narrow"/>
                <w:sz w:val="20"/>
                <w:szCs w:val="20"/>
              </w:rPr>
              <w:t>-3,26</w:t>
            </w:r>
          </w:p>
        </w:tc>
        <w:tc>
          <w:tcPr>
            <w:tcW w:w="553" w:type="pct"/>
            <w:tcBorders>
              <w:top w:val="single" w:sz="4" w:space="0" w:color="auto"/>
              <w:bottom w:val="single" w:sz="4" w:space="0" w:color="auto"/>
            </w:tcBorders>
            <w:shd w:val="clear" w:color="auto" w:fill="auto"/>
            <w:vAlign w:val="center"/>
          </w:tcPr>
          <w:p w:rsidR="00DF0F66" w:rsidRPr="00C33E41" w:rsidRDefault="00DF0F66" w:rsidP="00C33E4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C33E41">
              <w:rPr>
                <w:rFonts w:ascii="Arial Narrow" w:hAnsi="Arial Narrow"/>
                <w:sz w:val="20"/>
                <w:szCs w:val="20"/>
              </w:rPr>
              <w:t>-22,11</w:t>
            </w:r>
          </w:p>
        </w:tc>
      </w:tr>
    </w:tbl>
    <w:p w:rsidR="00C578DD" w:rsidRDefault="00C578DD" w:rsidP="00DF0F66">
      <w:pPr>
        <w:pStyle w:val="texto"/>
        <w:tabs>
          <w:tab w:val="clear" w:pos="2835"/>
          <w:tab w:val="clear" w:pos="3969"/>
          <w:tab w:val="clear" w:pos="5103"/>
          <w:tab w:val="clear" w:pos="6237"/>
          <w:tab w:val="clear" w:pos="7371"/>
        </w:tabs>
        <w:spacing w:before="240" w:after="100"/>
        <w:ind w:firstLine="289"/>
        <w:rPr>
          <w:szCs w:val="26"/>
        </w:rPr>
      </w:pPr>
      <w:r>
        <w:rPr>
          <w:szCs w:val="26"/>
        </w:rPr>
        <w:t xml:space="preserve">Tras la presentación del recurso de alzada de </w:t>
      </w:r>
      <w:proofErr w:type="spellStart"/>
      <w:r>
        <w:rPr>
          <w:szCs w:val="26"/>
        </w:rPr>
        <w:t>Audenasa</w:t>
      </w:r>
      <w:proofErr w:type="spellEnd"/>
      <w:r>
        <w:rPr>
          <w:szCs w:val="26"/>
        </w:rPr>
        <w:t xml:space="preserve"> en febrero de 2021, el </w:t>
      </w:r>
      <w:r w:rsidR="00C52381">
        <w:rPr>
          <w:szCs w:val="26"/>
        </w:rPr>
        <w:t>Gobierno de Navarra</w:t>
      </w:r>
      <w:r>
        <w:rPr>
          <w:szCs w:val="26"/>
        </w:rPr>
        <w:t xml:space="preserve"> realizó una interpretación del contrato, prerrogativa r</w:t>
      </w:r>
      <w:r>
        <w:rPr>
          <w:szCs w:val="26"/>
        </w:rPr>
        <w:t>e</w:t>
      </w:r>
      <w:r>
        <w:rPr>
          <w:szCs w:val="26"/>
        </w:rPr>
        <w:t xml:space="preserve">cogida expresamente en los artículos 34 y 142 de la Ley Foral 2/2018, de 13 de abril, de Contratos Públicos. </w:t>
      </w:r>
    </w:p>
    <w:p w:rsidR="00C578DD" w:rsidRDefault="00C578DD" w:rsidP="00C578DD">
      <w:pPr>
        <w:pStyle w:val="texto"/>
        <w:tabs>
          <w:tab w:val="clear" w:pos="2835"/>
          <w:tab w:val="clear" w:pos="3969"/>
          <w:tab w:val="clear" w:pos="5103"/>
          <w:tab w:val="clear" w:pos="6237"/>
          <w:tab w:val="clear" w:pos="7371"/>
        </w:tabs>
        <w:spacing w:after="100"/>
        <w:ind w:firstLine="289"/>
        <w:rPr>
          <w:szCs w:val="26"/>
        </w:rPr>
      </w:pPr>
      <w:r>
        <w:rPr>
          <w:szCs w:val="26"/>
        </w:rPr>
        <w:t>Si bien la interpretación es un acto discrecional realizado por el órgano de contratación, debe realizarse conforme al procedimiento establecido en la no</w:t>
      </w:r>
      <w:r>
        <w:rPr>
          <w:szCs w:val="26"/>
        </w:rPr>
        <w:t>r</w:t>
      </w:r>
      <w:r>
        <w:rPr>
          <w:szCs w:val="26"/>
        </w:rPr>
        <w:t>mativa; en concreto, el artículo 142 señala que la interpretación se documentará en un expediente en el que figurarán los informes técnicos y jurídicos pertine</w:t>
      </w:r>
      <w:r>
        <w:rPr>
          <w:szCs w:val="26"/>
        </w:rPr>
        <w:t>n</w:t>
      </w:r>
      <w:r>
        <w:rPr>
          <w:szCs w:val="26"/>
        </w:rPr>
        <w:t xml:space="preserve">tes. </w:t>
      </w:r>
    </w:p>
    <w:p w:rsidR="006E43C0" w:rsidRDefault="00C578DD" w:rsidP="00C578DD">
      <w:pPr>
        <w:pStyle w:val="texto"/>
        <w:tabs>
          <w:tab w:val="clear" w:pos="2835"/>
          <w:tab w:val="clear" w:pos="3969"/>
          <w:tab w:val="clear" w:pos="5103"/>
          <w:tab w:val="clear" w:pos="6237"/>
          <w:tab w:val="clear" w:pos="7371"/>
        </w:tabs>
        <w:spacing w:after="100"/>
        <w:ind w:firstLine="289"/>
        <w:rPr>
          <w:szCs w:val="26"/>
        </w:rPr>
      </w:pPr>
      <w:r>
        <w:rPr>
          <w:szCs w:val="26"/>
        </w:rPr>
        <w:t>Tal y como hemos señalado en el epígrafe II de este informe, estos informes constan y son favorables a la estimación del recurso</w:t>
      </w:r>
      <w:r w:rsidR="00AB63FD">
        <w:rPr>
          <w:szCs w:val="26"/>
        </w:rPr>
        <w:t xml:space="preserve"> que solicita la interpret</w:t>
      </w:r>
      <w:r w:rsidR="00AB63FD">
        <w:rPr>
          <w:szCs w:val="26"/>
        </w:rPr>
        <w:t>a</w:t>
      </w:r>
      <w:r w:rsidR="00AB63FD">
        <w:rPr>
          <w:szCs w:val="26"/>
        </w:rPr>
        <w:t xml:space="preserve">ción del contrato, siendo </w:t>
      </w:r>
      <w:r>
        <w:rPr>
          <w:szCs w:val="26"/>
        </w:rPr>
        <w:t>motivación del Acuerdo de Gobierno de Navarra de 24 de febrero de 2021 que estima dicho recurso.</w:t>
      </w:r>
    </w:p>
    <w:p w:rsidR="006E43C0" w:rsidRDefault="006E43C0">
      <w:pPr>
        <w:spacing w:after="0"/>
        <w:ind w:firstLine="0"/>
        <w:jc w:val="left"/>
        <w:rPr>
          <w:spacing w:val="6"/>
          <w:sz w:val="26"/>
          <w:szCs w:val="26"/>
        </w:rPr>
      </w:pPr>
      <w:r>
        <w:rPr>
          <w:szCs w:val="26"/>
        </w:rPr>
        <w:lastRenderedPageBreak/>
        <w:br w:type="page"/>
      </w:r>
    </w:p>
    <w:p w:rsidR="00644BE1" w:rsidRPr="00F377C9" w:rsidRDefault="00644BE1" w:rsidP="00644BE1">
      <w:pPr>
        <w:keepNext/>
        <w:spacing w:before="240" w:after="12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lastRenderedPageBreak/>
        <w:t xml:space="preserve">Opinión </w:t>
      </w:r>
      <w:r>
        <w:rPr>
          <w:rFonts w:ascii="Arial" w:hAnsi="Arial"/>
          <w:i/>
          <w:iCs/>
          <w:color w:val="000000"/>
          <w:spacing w:val="10"/>
          <w:kern w:val="28"/>
          <w:sz w:val="25"/>
          <w:szCs w:val="26"/>
        </w:rPr>
        <w:t>sobre cumplimiento de legalidad</w:t>
      </w:r>
    </w:p>
    <w:p w:rsidR="00644BE1" w:rsidRPr="00406CC7" w:rsidRDefault="00644BE1" w:rsidP="00DF0F66">
      <w:pPr>
        <w:pStyle w:val="texto"/>
        <w:tabs>
          <w:tab w:val="clear" w:pos="2835"/>
          <w:tab w:val="clear" w:pos="3969"/>
          <w:tab w:val="clear" w:pos="5103"/>
          <w:tab w:val="clear" w:pos="6237"/>
          <w:tab w:val="clear" w:pos="7371"/>
        </w:tabs>
        <w:spacing w:after="240"/>
        <w:ind w:firstLine="289"/>
      </w:pPr>
      <w:r w:rsidRPr="00F36C25">
        <w:rPr>
          <w:szCs w:val="26"/>
        </w:rPr>
        <w:t xml:space="preserve">En nuestra opinión, </w:t>
      </w:r>
      <w:r w:rsidR="005F5B32" w:rsidRPr="00F36C25">
        <w:rPr>
          <w:szCs w:val="26"/>
        </w:rPr>
        <w:t xml:space="preserve">el </w:t>
      </w:r>
      <w:r w:rsidR="004D5A35">
        <w:rPr>
          <w:szCs w:val="26"/>
        </w:rPr>
        <w:t xml:space="preserve">procedimiento </w:t>
      </w:r>
      <w:r w:rsidR="000669AC">
        <w:rPr>
          <w:szCs w:val="26"/>
        </w:rPr>
        <w:t xml:space="preserve">seguido </w:t>
      </w:r>
      <w:r w:rsidR="00F01F26">
        <w:rPr>
          <w:szCs w:val="26"/>
        </w:rPr>
        <w:t xml:space="preserve">para estimar </w:t>
      </w:r>
      <w:r w:rsidR="000669AC">
        <w:rPr>
          <w:szCs w:val="26"/>
        </w:rPr>
        <w:t>el recurso de a</w:t>
      </w:r>
      <w:r w:rsidR="000669AC">
        <w:rPr>
          <w:szCs w:val="26"/>
        </w:rPr>
        <w:t>l</w:t>
      </w:r>
      <w:r w:rsidR="000669AC">
        <w:rPr>
          <w:szCs w:val="26"/>
        </w:rPr>
        <w:t xml:space="preserve">zada </w:t>
      </w:r>
      <w:r w:rsidR="00F01F26">
        <w:rPr>
          <w:szCs w:val="26"/>
        </w:rPr>
        <w:t xml:space="preserve">y resolver el reparo del Interventor General, que suponía el </w:t>
      </w:r>
      <w:r w:rsidR="00C578DD" w:rsidRPr="00F36C25">
        <w:rPr>
          <w:szCs w:val="26"/>
        </w:rPr>
        <w:t>abono de la factura de noviembre de 2020 por un total de 6,28 millones</w:t>
      </w:r>
      <w:r w:rsidR="00F01F26">
        <w:rPr>
          <w:szCs w:val="26"/>
        </w:rPr>
        <w:t>,</w:t>
      </w:r>
      <w:r w:rsidR="005E280A">
        <w:rPr>
          <w:szCs w:val="26"/>
        </w:rPr>
        <w:t xml:space="preserve"> sin perjuicio del pronunciamiento del Consejo de Navarra sobre esta cuestión</w:t>
      </w:r>
      <w:r w:rsidR="005E280A">
        <w:rPr>
          <w:rStyle w:val="Refdenotaalpie"/>
          <w:szCs w:val="26"/>
        </w:rPr>
        <w:footnoteReference w:id="4"/>
      </w:r>
      <w:r w:rsidR="005E280A">
        <w:rPr>
          <w:szCs w:val="26"/>
        </w:rPr>
        <w:t xml:space="preserve">, </w:t>
      </w:r>
      <w:r w:rsidRPr="00F36C25">
        <w:t xml:space="preserve">resulta conforme con la normativa </w:t>
      </w:r>
      <w:r w:rsidRPr="00406CC7">
        <w:t>aplicable</w:t>
      </w:r>
      <w:r w:rsidR="002F2BC3" w:rsidRPr="00406CC7">
        <w:t>.</w:t>
      </w:r>
    </w:p>
    <w:p w:rsidR="00E5443F" w:rsidRPr="00F377C9" w:rsidRDefault="00E5443F" w:rsidP="00E5443F">
      <w:pPr>
        <w:keepNext/>
        <w:spacing w:before="240" w:after="120"/>
        <w:ind w:firstLine="0"/>
        <w:rPr>
          <w:rFonts w:ascii="Arial" w:hAnsi="Arial"/>
          <w:i/>
          <w:iCs/>
          <w:color w:val="000000"/>
          <w:spacing w:val="10"/>
          <w:kern w:val="28"/>
          <w:sz w:val="25"/>
          <w:szCs w:val="26"/>
        </w:rPr>
      </w:pPr>
      <w:r>
        <w:rPr>
          <w:rFonts w:ascii="Arial" w:hAnsi="Arial"/>
          <w:i/>
          <w:iCs/>
          <w:color w:val="000000"/>
          <w:spacing w:val="10"/>
          <w:kern w:val="28"/>
          <w:sz w:val="25"/>
          <w:szCs w:val="26"/>
        </w:rPr>
        <w:t>Otras observaciones que no afectan a la opinión</w:t>
      </w:r>
    </w:p>
    <w:p w:rsidR="00A66D60" w:rsidRPr="009A5CC8" w:rsidRDefault="00D2133D" w:rsidP="00E5443F">
      <w:pPr>
        <w:pStyle w:val="texto"/>
        <w:tabs>
          <w:tab w:val="clear" w:pos="2835"/>
          <w:tab w:val="clear" w:pos="3969"/>
          <w:tab w:val="clear" w:pos="5103"/>
          <w:tab w:val="clear" w:pos="6237"/>
          <w:tab w:val="clear" w:pos="7371"/>
        </w:tabs>
        <w:spacing w:after="240"/>
        <w:ind w:firstLine="289"/>
        <w:rPr>
          <w:szCs w:val="26"/>
        </w:rPr>
      </w:pPr>
      <w:r w:rsidRPr="000669AC">
        <w:rPr>
          <w:szCs w:val="26"/>
        </w:rPr>
        <w:t>Esta Cámara entiende que</w:t>
      </w:r>
      <w:r w:rsidR="00896C0A" w:rsidRPr="000669AC">
        <w:rPr>
          <w:szCs w:val="26"/>
        </w:rPr>
        <w:t>,</w:t>
      </w:r>
      <w:r w:rsidRPr="000669AC">
        <w:rPr>
          <w:szCs w:val="26"/>
        </w:rPr>
        <w:t xml:space="preserve"> el </w:t>
      </w:r>
      <w:r w:rsidR="00CC6587" w:rsidRPr="000669AC">
        <w:rPr>
          <w:szCs w:val="26"/>
        </w:rPr>
        <w:t>ejercicio de la potestad de interpretación</w:t>
      </w:r>
      <w:r w:rsidR="00A66D60" w:rsidRPr="000669AC">
        <w:rPr>
          <w:szCs w:val="26"/>
        </w:rPr>
        <w:t xml:space="preserve"> real</w:t>
      </w:r>
      <w:r w:rsidR="00A66D60" w:rsidRPr="000669AC">
        <w:rPr>
          <w:szCs w:val="26"/>
        </w:rPr>
        <w:t>i</w:t>
      </w:r>
      <w:r w:rsidR="00A66D60" w:rsidRPr="000669AC">
        <w:rPr>
          <w:szCs w:val="26"/>
        </w:rPr>
        <w:t xml:space="preserve">zada por </w:t>
      </w:r>
      <w:r w:rsidR="00CC6587" w:rsidRPr="000669AC">
        <w:rPr>
          <w:szCs w:val="26"/>
        </w:rPr>
        <w:t>el Gobierno de Navarra</w:t>
      </w:r>
      <w:r w:rsidR="00A66D60" w:rsidRPr="000669AC">
        <w:rPr>
          <w:szCs w:val="26"/>
        </w:rPr>
        <w:t xml:space="preserve"> a raíz de la inte</w:t>
      </w:r>
      <w:r w:rsidR="004D5A35" w:rsidRPr="000669AC">
        <w:rPr>
          <w:szCs w:val="26"/>
        </w:rPr>
        <w:t xml:space="preserve">rposición del recurso de alzada por </w:t>
      </w:r>
      <w:proofErr w:type="spellStart"/>
      <w:r w:rsidR="004D5A35" w:rsidRPr="000669AC">
        <w:rPr>
          <w:szCs w:val="26"/>
        </w:rPr>
        <w:t>Audenasa</w:t>
      </w:r>
      <w:proofErr w:type="spellEnd"/>
      <w:r w:rsidR="004D5A35" w:rsidRPr="000669AC">
        <w:rPr>
          <w:szCs w:val="26"/>
        </w:rPr>
        <w:t>,</w:t>
      </w:r>
      <w:r w:rsidR="00A66D60" w:rsidRPr="000669AC">
        <w:rPr>
          <w:szCs w:val="26"/>
        </w:rPr>
        <w:t xml:space="preserve"> debería haberse realizado </w:t>
      </w:r>
      <w:r w:rsidR="00E16110">
        <w:rPr>
          <w:szCs w:val="26"/>
        </w:rPr>
        <w:t>en el momento de</w:t>
      </w:r>
      <w:r w:rsidR="004D5A35" w:rsidRPr="000669AC">
        <w:rPr>
          <w:szCs w:val="26"/>
        </w:rPr>
        <w:t xml:space="preserve"> la </w:t>
      </w:r>
      <w:r w:rsidR="002F2BC3" w:rsidRPr="000669AC">
        <w:rPr>
          <w:szCs w:val="26"/>
        </w:rPr>
        <w:t xml:space="preserve">presentación de la </w:t>
      </w:r>
      <w:r w:rsidRPr="000669AC">
        <w:rPr>
          <w:szCs w:val="26"/>
        </w:rPr>
        <w:t>factura</w:t>
      </w:r>
      <w:r w:rsidR="002F2BC3" w:rsidRPr="000669AC">
        <w:rPr>
          <w:szCs w:val="26"/>
        </w:rPr>
        <w:t xml:space="preserve"> </w:t>
      </w:r>
      <w:r w:rsidRPr="000669AC">
        <w:rPr>
          <w:szCs w:val="26"/>
        </w:rPr>
        <w:t>en diciembre de 2020</w:t>
      </w:r>
      <w:r w:rsidR="004D5A35" w:rsidRPr="000669AC">
        <w:rPr>
          <w:szCs w:val="26"/>
        </w:rPr>
        <w:t>.</w:t>
      </w:r>
    </w:p>
    <w:p w:rsidR="00C578DD" w:rsidRDefault="00C578DD" w:rsidP="00DF0F66">
      <w:pPr>
        <w:pStyle w:val="atitulo2"/>
        <w:spacing w:after="120"/>
      </w:pPr>
      <w:bookmarkStart w:id="28" w:name="_Toc67394580"/>
      <w:bookmarkStart w:id="29" w:name="_Toc75089956"/>
      <w:r w:rsidRPr="00FF3E46">
        <w:t>IV.</w:t>
      </w:r>
      <w:r>
        <w:t>2</w:t>
      </w:r>
      <w:r w:rsidR="001F3FAF">
        <w:t>.</w:t>
      </w:r>
      <w:r w:rsidRPr="00FF3E46">
        <w:t xml:space="preserve"> </w:t>
      </w:r>
      <w:bookmarkEnd w:id="28"/>
      <w:r>
        <w:t>Opinión de auditoría financiera</w:t>
      </w:r>
      <w:bookmarkEnd w:id="29"/>
      <w:r>
        <w:t xml:space="preserve"> </w:t>
      </w:r>
    </w:p>
    <w:p w:rsidR="00644BE1" w:rsidRDefault="005F5B32" w:rsidP="00644BE1">
      <w:pPr>
        <w:keepNext/>
        <w:spacing w:before="120" w:after="120"/>
        <w:ind w:firstLine="357"/>
        <w:rPr>
          <w:spacing w:val="6"/>
          <w:sz w:val="26"/>
          <w:szCs w:val="24"/>
        </w:rPr>
      </w:pPr>
      <w:r>
        <w:rPr>
          <w:spacing w:val="6"/>
          <w:sz w:val="26"/>
          <w:szCs w:val="24"/>
        </w:rPr>
        <w:t xml:space="preserve">Teniendo en cuenta la estimación del recurso de alzada de </w:t>
      </w:r>
      <w:proofErr w:type="spellStart"/>
      <w:r w:rsidR="00A471C0">
        <w:rPr>
          <w:spacing w:val="6"/>
          <w:sz w:val="26"/>
          <w:szCs w:val="24"/>
        </w:rPr>
        <w:t>Audenasa</w:t>
      </w:r>
      <w:proofErr w:type="spellEnd"/>
      <w:r w:rsidR="00A471C0">
        <w:rPr>
          <w:spacing w:val="6"/>
          <w:sz w:val="26"/>
          <w:szCs w:val="24"/>
        </w:rPr>
        <w:t>, los d</w:t>
      </w:r>
      <w:r w:rsidR="00A471C0">
        <w:rPr>
          <w:spacing w:val="6"/>
          <w:sz w:val="26"/>
          <w:szCs w:val="24"/>
        </w:rPr>
        <w:t>a</w:t>
      </w:r>
      <w:r w:rsidR="00A471C0">
        <w:rPr>
          <w:spacing w:val="6"/>
          <w:sz w:val="26"/>
          <w:szCs w:val="24"/>
        </w:rPr>
        <w:t>tos y cálculos de la</w:t>
      </w:r>
      <w:r>
        <w:rPr>
          <w:spacing w:val="6"/>
          <w:sz w:val="26"/>
          <w:szCs w:val="24"/>
        </w:rPr>
        <w:t xml:space="preserve"> factura presentada en noviembre de 2020 y aprobada por el Departamento de E</w:t>
      </w:r>
      <w:r w:rsidR="00A471C0">
        <w:rPr>
          <w:spacing w:val="6"/>
          <w:sz w:val="26"/>
          <w:szCs w:val="24"/>
        </w:rPr>
        <w:t>co</w:t>
      </w:r>
      <w:r w:rsidR="00F01F26">
        <w:rPr>
          <w:spacing w:val="6"/>
          <w:sz w:val="26"/>
          <w:szCs w:val="24"/>
        </w:rPr>
        <w:t>nomía y Hacienda son correctos.</w:t>
      </w:r>
    </w:p>
    <w:p w:rsidR="00A471C0" w:rsidRPr="001E2157" w:rsidRDefault="00A471C0" w:rsidP="00A471C0">
      <w:pPr>
        <w:pStyle w:val="texto"/>
        <w:spacing w:after="120"/>
      </w:pPr>
      <w:bookmarkStart w:id="30" w:name="_Toc67394583"/>
      <w:bookmarkStart w:id="31" w:name="_Toc67394582"/>
      <w:r w:rsidRPr="001E2157">
        <w:t>A la fecha de redacción de este</w:t>
      </w:r>
      <w:r w:rsidR="00D22CC5" w:rsidRPr="001E2157">
        <w:t xml:space="preserve"> informe, la factura </w:t>
      </w:r>
      <w:r w:rsidR="0007368E">
        <w:t xml:space="preserve">está contabilizada pero sigue pendiente el abono de </w:t>
      </w:r>
      <w:r w:rsidR="00D22CC5" w:rsidRPr="001E2157">
        <w:t>5,07 millones.</w:t>
      </w:r>
    </w:p>
    <w:bookmarkEnd w:id="30"/>
    <w:p w:rsidR="000A54AC" w:rsidRDefault="000A54AC">
      <w:pPr>
        <w:spacing w:after="0"/>
        <w:ind w:firstLine="0"/>
        <w:jc w:val="left"/>
        <w:rPr>
          <w:b/>
          <w:color w:val="FF0000"/>
          <w:spacing w:val="6"/>
          <w:sz w:val="26"/>
          <w:szCs w:val="24"/>
        </w:rPr>
      </w:pPr>
      <w:r>
        <w:rPr>
          <w:b/>
          <w:color w:val="FF0000"/>
        </w:rPr>
        <w:br w:type="page"/>
      </w:r>
    </w:p>
    <w:p w:rsidR="00644BE1" w:rsidRDefault="006B548F" w:rsidP="006B548F">
      <w:pPr>
        <w:pStyle w:val="atitulo2"/>
        <w:spacing w:before="240" w:after="120"/>
        <w:rPr>
          <w:bCs w:val="0"/>
          <w:iCs w:val="0"/>
        </w:rPr>
      </w:pPr>
      <w:bookmarkStart w:id="32" w:name="_Toc75089957"/>
      <w:r w:rsidRPr="00E171FA">
        <w:rPr>
          <w:bCs w:val="0"/>
          <w:iCs w:val="0"/>
        </w:rPr>
        <w:lastRenderedPageBreak/>
        <w:t>IV.</w:t>
      </w:r>
      <w:r w:rsidR="00D22CC5">
        <w:rPr>
          <w:bCs w:val="0"/>
          <w:iCs w:val="0"/>
        </w:rPr>
        <w:t>3</w:t>
      </w:r>
      <w:r w:rsidR="001F3FAF">
        <w:rPr>
          <w:bCs w:val="0"/>
          <w:iCs w:val="0"/>
        </w:rPr>
        <w:t>.</w:t>
      </w:r>
      <w:r w:rsidRPr="00E171FA">
        <w:rPr>
          <w:bCs w:val="0"/>
          <w:iCs w:val="0"/>
        </w:rPr>
        <w:t xml:space="preserve"> </w:t>
      </w:r>
      <w:bookmarkEnd w:id="31"/>
      <w:r w:rsidR="00644BE1">
        <w:rPr>
          <w:bCs w:val="0"/>
          <w:iCs w:val="0"/>
        </w:rPr>
        <w:t>Anál</w:t>
      </w:r>
      <w:r w:rsidR="00A471C0">
        <w:rPr>
          <w:bCs w:val="0"/>
          <w:iCs w:val="0"/>
        </w:rPr>
        <w:t xml:space="preserve">isis de los posibles efectos de la aprobación </w:t>
      </w:r>
      <w:r w:rsidR="00BB5387">
        <w:rPr>
          <w:bCs w:val="0"/>
          <w:iCs w:val="0"/>
        </w:rPr>
        <w:t>de la compens</w:t>
      </w:r>
      <w:r w:rsidR="00BB5387">
        <w:rPr>
          <w:bCs w:val="0"/>
          <w:iCs w:val="0"/>
        </w:rPr>
        <w:t>a</w:t>
      </w:r>
      <w:r w:rsidR="00BB5387">
        <w:rPr>
          <w:bCs w:val="0"/>
          <w:iCs w:val="0"/>
        </w:rPr>
        <w:t>ción</w:t>
      </w:r>
      <w:r w:rsidR="00644BE1">
        <w:rPr>
          <w:bCs w:val="0"/>
          <w:iCs w:val="0"/>
        </w:rPr>
        <w:t xml:space="preserve"> de noviembre de 2020 en el periodo 202</w:t>
      </w:r>
      <w:r w:rsidR="00140FC4">
        <w:rPr>
          <w:bCs w:val="0"/>
          <w:iCs w:val="0"/>
        </w:rPr>
        <w:t>0</w:t>
      </w:r>
      <w:r w:rsidR="00644BE1">
        <w:rPr>
          <w:bCs w:val="0"/>
          <w:iCs w:val="0"/>
        </w:rPr>
        <w:t>-2029</w:t>
      </w:r>
      <w:bookmarkEnd w:id="32"/>
    </w:p>
    <w:p w:rsidR="00600E5F" w:rsidRDefault="00A471C0" w:rsidP="00A471C0">
      <w:pPr>
        <w:pStyle w:val="texto"/>
        <w:spacing w:after="240"/>
      </w:pPr>
      <w:r>
        <w:t xml:space="preserve">Teniendo en cuenta los componentes de la fórmula </w:t>
      </w:r>
      <w:r w:rsidR="00406CC7">
        <w:t>aplicable a</w:t>
      </w:r>
      <w:r>
        <w:t xml:space="preserve"> la compens</w:t>
      </w:r>
      <w:r>
        <w:t>a</w:t>
      </w:r>
      <w:r>
        <w:t xml:space="preserve">ción </w:t>
      </w:r>
      <w:r w:rsidR="00406CC7">
        <w:t>(recaudación teórica –</w:t>
      </w:r>
      <w:r w:rsidR="00294F01">
        <w:t xml:space="preserve"> </w:t>
      </w:r>
      <w:r w:rsidR="00406CC7">
        <w:t>recaudación real)</w:t>
      </w:r>
      <w:r>
        <w:t xml:space="preserve">, </w:t>
      </w:r>
      <w:r w:rsidR="00BC035C">
        <w:t xml:space="preserve">aplicar el valor </w:t>
      </w:r>
      <w:r>
        <w:t xml:space="preserve">1 </w:t>
      </w:r>
      <w:proofErr w:type="spellStart"/>
      <w:r>
        <w:t>ó</w:t>
      </w:r>
      <w:proofErr w:type="spellEnd"/>
      <w:r>
        <w:t xml:space="preserve"> 1,65 al coef</w:t>
      </w:r>
      <w:r>
        <w:t>i</w:t>
      </w:r>
      <w:r>
        <w:t xml:space="preserve">ciente C supone la obtención de una recaudación teórica </w:t>
      </w:r>
      <w:r w:rsidR="00600E5F">
        <w:t>diferente</w:t>
      </w:r>
      <w:r w:rsidR="00BC035C">
        <w:t xml:space="preserve"> para 2020</w:t>
      </w:r>
      <w:r w:rsidR="00600E5F">
        <w:t>, tal y como se muestra en el siguiente cuadro:</w:t>
      </w:r>
    </w:p>
    <w:tbl>
      <w:tblPr>
        <w:tblW w:w="5000" w:type="pct"/>
        <w:tblBorders>
          <w:top w:val="single" w:sz="4" w:space="0" w:color="auto"/>
          <w:bottom w:val="single" w:sz="4" w:space="0" w:color="auto"/>
          <w:insideH w:val="single" w:sz="4" w:space="0" w:color="auto"/>
        </w:tblBorders>
        <w:tblCellMar>
          <w:left w:w="30" w:type="dxa"/>
          <w:right w:w="30" w:type="dxa"/>
        </w:tblCellMar>
        <w:tblLook w:val="0000" w:firstRow="0" w:lastRow="0" w:firstColumn="0" w:lastColumn="0" w:noHBand="0" w:noVBand="0"/>
      </w:tblPr>
      <w:tblGrid>
        <w:gridCol w:w="1140"/>
        <w:gridCol w:w="1041"/>
        <w:gridCol w:w="982"/>
        <w:gridCol w:w="871"/>
        <w:gridCol w:w="510"/>
        <w:gridCol w:w="722"/>
        <w:gridCol w:w="1122"/>
        <w:gridCol w:w="419"/>
        <w:gridCol w:w="780"/>
        <w:gridCol w:w="1262"/>
      </w:tblGrid>
      <w:tr w:rsidR="00C33E41" w:rsidRPr="00D02050" w:rsidTr="00294F01">
        <w:trPr>
          <w:trHeight w:hRule="exact" w:val="624"/>
        </w:trPr>
        <w:tc>
          <w:tcPr>
            <w:tcW w:w="644" w:type="pct"/>
            <w:tcBorders>
              <w:bottom w:val="single" w:sz="4" w:space="0" w:color="auto"/>
            </w:tcBorders>
            <w:shd w:val="clear" w:color="auto" w:fill="8DB3E2"/>
            <w:vAlign w:val="center"/>
          </w:tcPr>
          <w:p w:rsidR="00202542" w:rsidRPr="00D02050" w:rsidRDefault="00202542" w:rsidP="00C33E41">
            <w:pPr>
              <w:autoSpaceDE w:val="0"/>
              <w:autoSpaceDN w:val="0"/>
              <w:adjustRightInd w:val="0"/>
              <w:spacing w:after="0"/>
              <w:ind w:firstLine="0"/>
              <w:jc w:val="left"/>
              <w:rPr>
                <w:rFonts w:ascii="Arial" w:hAnsi="Arial" w:cs="Arial"/>
                <w:color w:val="000000"/>
                <w:sz w:val="16"/>
                <w:szCs w:val="16"/>
                <w:lang w:val="es-ES" w:eastAsia="es-ES"/>
              </w:rPr>
            </w:pPr>
          </w:p>
        </w:tc>
        <w:tc>
          <w:tcPr>
            <w:tcW w:w="588" w:type="pct"/>
            <w:tcBorders>
              <w:bottom w:val="single" w:sz="4" w:space="0" w:color="auto"/>
            </w:tcBorders>
            <w:shd w:val="clear" w:color="auto" w:fill="8DB3E2"/>
            <w:vAlign w:val="center"/>
          </w:tcPr>
          <w:p w:rsidR="00202542" w:rsidRPr="00D02050" w:rsidRDefault="008C410D" w:rsidP="00541F31">
            <w:pPr>
              <w:autoSpaceDE w:val="0"/>
              <w:autoSpaceDN w:val="0"/>
              <w:adjustRightInd w:val="0"/>
              <w:spacing w:after="0"/>
              <w:ind w:firstLine="0"/>
              <w:jc w:val="right"/>
              <w:rPr>
                <w:rFonts w:ascii="Arial" w:hAnsi="Arial" w:cs="Arial"/>
                <w:color w:val="000000"/>
                <w:sz w:val="16"/>
                <w:szCs w:val="16"/>
                <w:lang w:val="es-ES" w:eastAsia="es-ES"/>
              </w:rPr>
            </w:pPr>
            <w:r w:rsidRPr="00D02050">
              <w:rPr>
                <w:rFonts w:ascii="Arial" w:hAnsi="Arial" w:cs="Arial"/>
                <w:color w:val="000000"/>
                <w:sz w:val="16"/>
                <w:szCs w:val="16"/>
                <w:lang w:val="es-ES" w:eastAsia="es-ES"/>
              </w:rPr>
              <w:t>Recaudación teórica</w:t>
            </w:r>
          </w:p>
          <w:p w:rsidR="00202542" w:rsidRPr="00D02050" w:rsidRDefault="00202542" w:rsidP="00541F31">
            <w:pPr>
              <w:autoSpaceDE w:val="0"/>
              <w:autoSpaceDN w:val="0"/>
              <w:adjustRightInd w:val="0"/>
              <w:spacing w:after="0"/>
              <w:ind w:firstLine="0"/>
              <w:jc w:val="right"/>
              <w:rPr>
                <w:rFonts w:ascii="Arial" w:hAnsi="Arial" w:cs="Arial"/>
                <w:color w:val="000000"/>
                <w:sz w:val="16"/>
                <w:szCs w:val="16"/>
                <w:lang w:val="es-ES" w:eastAsia="es-ES"/>
              </w:rPr>
            </w:pPr>
            <w:r w:rsidRPr="00D02050">
              <w:rPr>
                <w:rFonts w:ascii="Arial" w:hAnsi="Arial" w:cs="Arial"/>
                <w:color w:val="000000"/>
                <w:sz w:val="16"/>
                <w:szCs w:val="16"/>
                <w:lang w:val="es-ES" w:eastAsia="es-ES"/>
              </w:rPr>
              <w:t>2019</w:t>
            </w:r>
          </w:p>
        </w:tc>
        <w:tc>
          <w:tcPr>
            <w:tcW w:w="555" w:type="pct"/>
            <w:tcBorders>
              <w:bottom w:val="single" w:sz="4" w:space="0" w:color="auto"/>
            </w:tcBorders>
            <w:shd w:val="clear" w:color="auto" w:fill="8DB3E2"/>
            <w:vAlign w:val="center"/>
          </w:tcPr>
          <w:p w:rsidR="00202542" w:rsidRPr="00D02050" w:rsidRDefault="00202542" w:rsidP="00541F31">
            <w:pPr>
              <w:autoSpaceDE w:val="0"/>
              <w:autoSpaceDN w:val="0"/>
              <w:adjustRightInd w:val="0"/>
              <w:spacing w:after="0"/>
              <w:ind w:firstLine="0"/>
              <w:jc w:val="right"/>
              <w:rPr>
                <w:rFonts w:ascii="Arial" w:hAnsi="Arial" w:cs="Arial"/>
                <w:color w:val="000000"/>
                <w:sz w:val="16"/>
                <w:szCs w:val="16"/>
                <w:lang w:val="es-ES" w:eastAsia="es-ES"/>
              </w:rPr>
            </w:pPr>
            <w:proofErr w:type="spellStart"/>
            <w:r w:rsidRPr="00D02050">
              <w:rPr>
                <w:rFonts w:ascii="Arial" w:hAnsi="Arial" w:cs="Arial"/>
                <w:color w:val="000000"/>
                <w:sz w:val="16"/>
                <w:szCs w:val="16"/>
                <w:lang w:val="es-ES" w:eastAsia="es-ES"/>
              </w:rPr>
              <w:t>Act</w:t>
            </w:r>
            <w:proofErr w:type="spellEnd"/>
            <w:r w:rsidRPr="00D02050">
              <w:rPr>
                <w:rFonts w:ascii="Arial" w:hAnsi="Arial" w:cs="Arial"/>
                <w:color w:val="000000"/>
                <w:sz w:val="16"/>
                <w:szCs w:val="16"/>
                <w:lang w:val="es-ES" w:eastAsia="es-ES"/>
              </w:rPr>
              <w:t>. Tarifa 2020</w:t>
            </w:r>
          </w:p>
          <w:p w:rsidR="00202542" w:rsidRPr="00D02050" w:rsidRDefault="00202542" w:rsidP="00541F31">
            <w:pPr>
              <w:autoSpaceDE w:val="0"/>
              <w:autoSpaceDN w:val="0"/>
              <w:adjustRightInd w:val="0"/>
              <w:spacing w:after="0"/>
              <w:ind w:firstLine="0"/>
              <w:jc w:val="right"/>
              <w:rPr>
                <w:rFonts w:ascii="Arial" w:hAnsi="Arial" w:cs="Arial"/>
                <w:color w:val="000000"/>
                <w:sz w:val="16"/>
                <w:szCs w:val="16"/>
                <w:lang w:val="es-ES" w:eastAsia="es-ES"/>
              </w:rPr>
            </w:pPr>
            <w:r w:rsidRPr="00D02050">
              <w:rPr>
                <w:rFonts w:ascii="Arial" w:hAnsi="Arial" w:cs="Arial"/>
                <w:color w:val="000000"/>
                <w:sz w:val="16"/>
                <w:szCs w:val="16"/>
                <w:lang w:val="es-ES" w:eastAsia="es-ES"/>
              </w:rPr>
              <w:t>(95% IPC)</w:t>
            </w:r>
          </w:p>
        </w:tc>
        <w:tc>
          <w:tcPr>
            <w:tcW w:w="492" w:type="pct"/>
            <w:tcBorders>
              <w:bottom w:val="single" w:sz="4" w:space="0" w:color="auto"/>
            </w:tcBorders>
            <w:shd w:val="clear" w:color="auto" w:fill="8DB3E2"/>
            <w:vAlign w:val="center"/>
          </w:tcPr>
          <w:p w:rsidR="00202542" w:rsidRPr="00D02050" w:rsidRDefault="00202542" w:rsidP="00541F31">
            <w:pPr>
              <w:autoSpaceDE w:val="0"/>
              <w:autoSpaceDN w:val="0"/>
              <w:adjustRightInd w:val="0"/>
              <w:spacing w:after="0"/>
              <w:ind w:firstLine="0"/>
              <w:jc w:val="right"/>
              <w:rPr>
                <w:rFonts w:ascii="Arial" w:hAnsi="Arial" w:cs="Arial"/>
                <w:color w:val="000000"/>
                <w:sz w:val="16"/>
                <w:szCs w:val="16"/>
                <w:lang w:val="es-ES" w:eastAsia="es-ES"/>
              </w:rPr>
            </w:pPr>
            <w:proofErr w:type="spellStart"/>
            <w:r w:rsidRPr="00D02050">
              <w:rPr>
                <w:rFonts w:ascii="Arial" w:hAnsi="Arial" w:cs="Arial"/>
                <w:color w:val="000000"/>
                <w:sz w:val="16"/>
                <w:szCs w:val="16"/>
                <w:lang w:val="es-ES" w:eastAsia="es-ES"/>
              </w:rPr>
              <w:t>Increm</w:t>
            </w:r>
            <w:proofErr w:type="spellEnd"/>
            <w:r w:rsidRPr="00D02050">
              <w:rPr>
                <w:rFonts w:ascii="Arial" w:hAnsi="Arial" w:cs="Arial"/>
                <w:color w:val="000000"/>
                <w:sz w:val="16"/>
                <w:szCs w:val="16"/>
                <w:lang w:val="es-ES" w:eastAsia="es-ES"/>
              </w:rPr>
              <w:t>.</w:t>
            </w:r>
          </w:p>
          <w:p w:rsidR="00202542" w:rsidRPr="00D02050" w:rsidRDefault="00202542" w:rsidP="006B2990">
            <w:pPr>
              <w:autoSpaceDE w:val="0"/>
              <w:autoSpaceDN w:val="0"/>
              <w:adjustRightInd w:val="0"/>
              <w:spacing w:after="0"/>
              <w:ind w:firstLine="0"/>
              <w:jc w:val="right"/>
              <w:rPr>
                <w:rFonts w:ascii="Arial" w:hAnsi="Arial" w:cs="Arial"/>
                <w:color w:val="000000"/>
                <w:sz w:val="16"/>
                <w:szCs w:val="16"/>
                <w:lang w:val="es-ES" w:eastAsia="es-ES"/>
              </w:rPr>
            </w:pPr>
            <w:r w:rsidRPr="00D02050">
              <w:rPr>
                <w:rFonts w:ascii="Arial" w:hAnsi="Arial" w:cs="Arial"/>
                <w:color w:val="000000"/>
                <w:sz w:val="16"/>
                <w:szCs w:val="16"/>
                <w:lang w:val="es-ES" w:eastAsia="es-ES"/>
              </w:rPr>
              <w:t>Tráfico</w:t>
            </w:r>
            <w:r w:rsidR="006B2990" w:rsidRPr="00D02050">
              <w:rPr>
                <w:rFonts w:ascii="Arial" w:hAnsi="Arial" w:cs="Arial"/>
                <w:color w:val="000000"/>
                <w:sz w:val="16"/>
                <w:szCs w:val="16"/>
                <w:lang w:val="es-ES" w:eastAsia="es-ES"/>
              </w:rPr>
              <w:t xml:space="preserve"> </w:t>
            </w:r>
            <w:r w:rsidRPr="00D02050">
              <w:rPr>
                <w:rFonts w:ascii="Arial" w:hAnsi="Arial" w:cs="Arial"/>
                <w:color w:val="000000"/>
                <w:sz w:val="16"/>
                <w:szCs w:val="16"/>
                <w:lang w:val="es-ES" w:eastAsia="es-ES"/>
              </w:rPr>
              <w:t>corredor</w:t>
            </w:r>
          </w:p>
        </w:tc>
        <w:tc>
          <w:tcPr>
            <w:tcW w:w="696" w:type="pct"/>
            <w:gridSpan w:val="2"/>
            <w:tcBorders>
              <w:bottom w:val="single" w:sz="4" w:space="0" w:color="auto"/>
            </w:tcBorders>
            <w:shd w:val="clear" w:color="auto" w:fill="8DB3E2"/>
            <w:vAlign w:val="center"/>
          </w:tcPr>
          <w:p w:rsidR="00202542" w:rsidRPr="00D02050" w:rsidRDefault="00202542" w:rsidP="00C910F3">
            <w:pPr>
              <w:autoSpaceDE w:val="0"/>
              <w:autoSpaceDN w:val="0"/>
              <w:adjustRightInd w:val="0"/>
              <w:spacing w:after="0"/>
              <w:ind w:left="76" w:right="241" w:firstLine="0"/>
              <w:jc w:val="right"/>
              <w:rPr>
                <w:rFonts w:ascii="Arial" w:hAnsi="Arial" w:cs="Arial"/>
                <w:color w:val="000000"/>
                <w:sz w:val="16"/>
                <w:szCs w:val="16"/>
                <w:lang w:val="es-ES" w:eastAsia="es-ES"/>
              </w:rPr>
            </w:pPr>
            <w:proofErr w:type="spellStart"/>
            <w:r w:rsidRPr="00D02050">
              <w:rPr>
                <w:rFonts w:ascii="Arial" w:hAnsi="Arial" w:cs="Arial"/>
                <w:color w:val="000000"/>
                <w:sz w:val="16"/>
                <w:szCs w:val="16"/>
                <w:lang w:val="es-ES" w:eastAsia="es-ES"/>
              </w:rPr>
              <w:t>Coef</w:t>
            </w:r>
            <w:proofErr w:type="spellEnd"/>
            <w:r w:rsidRPr="00D02050">
              <w:rPr>
                <w:rFonts w:ascii="Arial" w:hAnsi="Arial" w:cs="Arial"/>
                <w:color w:val="000000"/>
                <w:sz w:val="16"/>
                <w:szCs w:val="16"/>
                <w:lang w:val="es-ES" w:eastAsia="es-ES"/>
              </w:rPr>
              <w:t>.</w:t>
            </w:r>
          </w:p>
          <w:p w:rsidR="00202542" w:rsidRPr="00D02050" w:rsidRDefault="00202542" w:rsidP="00C910F3">
            <w:pPr>
              <w:autoSpaceDE w:val="0"/>
              <w:autoSpaceDN w:val="0"/>
              <w:adjustRightInd w:val="0"/>
              <w:spacing w:after="0"/>
              <w:ind w:left="76" w:right="241" w:firstLine="0"/>
              <w:jc w:val="right"/>
              <w:rPr>
                <w:rFonts w:ascii="Arial" w:hAnsi="Arial" w:cs="Arial"/>
                <w:color w:val="000000"/>
                <w:sz w:val="16"/>
                <w:szCs w:val="16"/>
                <w:lang w:val="es-ES" w:eastAsia="es-ES"/>
              </w:rPr>
            </w:pPr>
            <w:r w:rsidRPr="00D02050">
              <w:rPr>
                <w:rFonts w:ascii="Arial" w:hAnsi="Arial" w:cs="Arial"/>
                <w:color w:val="000000"/>
                <w:sz w:val="16"/>
                <w:szCs w:val="16"/>
                <w:lang w:val="es-ES" w:eastAsia="es-ES"/>
              </w:rPr>
              <w:t>Autopista</w:t>
            </w:r>
          </w:p>
          <w:p w:rsidR="00202542" w:rsidRPr="00D02050" w:rsidRDefault="00202542" w:rsidP="00C910F3">
            <w:pPr>
              <w:autoSpaceDE w:val="0"/>
              <w:autoSpaceDN w:val="0"/>
              <w:adjustRightInd w:val="0"/>
              <w:spacing w:after="0"/>
              <w:ind w:left="76" w:right="241" w:firstLine="0"/>
              <w:jc w:val="right"/>
              <w:rPr>
                <w:rFonts w:ascii="Arial" w:hAnsi="Arial" w:cs="Arial"/>
                <w:color w:val="000000"/>
                <w:sz w:val="16"/>
                <w:szCs w:val="16"/>
                <w:lang w:val="es-ES" w:eastAsia="es-ES"/>
              </w:rPr>
            </w:pPr>
            <w:r w:rsidRPr="00D02050">
              <w:rPr>
                <w:rFonts w:ascii="Arial" w:hAnsi="Arial" w:cs="Arial"/>
                <w:color w:val="000000"/>
                <w:sz w:val="16"/>
                <w:szCs w:val="16"/>
                <w:lang w:val="es-ES" w:eastAsia="es-ES"/>
              </w:rPr>
              <w:t>C =1,65</w:t>
            </w:r>
          </w:p>
        </w:tc>
        <w:tc>
          <w:tcPr>
            <w:tcW w:w="634" w:type="pct"/>
            <w:tcBorders>
              <w:bottom w:val="single" w:sz="4" w:space="0" w:color="auto"/>
            </w:tcBorders>
            <w:shd w:val="clear" w:color="auto" w:fill="8DB3E2"/>
            <w:vAlign w:val="center"/>
          </w:tcPr>
          <w:p w:rsidR="00202542" w:rsidRPr="00D02050" w:rsidRDefault="00202542" w:rsidP="00541F31">
            <w:pPr>
              <w:autoSpaceDE w:val="0"/>
              <w:autoSpaceDN w:val="0"/>
              <w:adjustRightInd w:val="0"/>
              <w:spacing w:after="0"/>
              <w:ind w:firstLine="0"/>
              <w:jc w:val="right"/>
              <w:rPr>
                <w:rFonts w:ascii="Arial" w:hAnsi="Arial" w:cs="Arial"/>
                <w:bCs/>
                <w:color w:val="000000"/>
                <w:sz w:val="16"/>
                <w:szCs w:val="16"/>
                <w:lang w:val="es-ES" w:eastAsia="es-ES"/>
              </w:rPr>
            </w:pPr>
            <w:r w:rsidRPr="00D02050">
              <w:rPr>
                <w:rFonts w:ascii="Arial" w:hAnsi="Arial" w:cs="Arial"/>
                <w:bCs/>
                <w:color w:val="000000"/>
                <w:sz w:val="16"/>
                <w:szCs w:val="16"/>
                <w:lang w:val="es-ES" w:eastAsia="es-ES"/>
              </w:rPr>
              <w:t>Recaudación Teórica 2020</w:t>
            </w:r>
          </w:p>
          <w:p w:rsidR="00202542" w:rsidRPr="00D02050" w:rsidRDefault="00202542" w:rsidP="00541F31">
            <w:pPr>
              <w:autoSpaceDE w:val="0"/>
              <w:autoSpaceDN w:val="0"/>
              <w:adjustRightInd w:val="0"/>
              <w:spacing w:after="0"/>
              <w:ind w:firstLine="0"/>
              <w:jc w:val="right"/>
              <w:rPr>
                <w:rFonts w:ascii="Arial" w:hAnsi="Arial" w:cs="Arial"/>
                <w:bCs/>
                <w:color w:val="000000"/>
                <w:sz w:val="16"/>
                <w:szCs w:val="16"/>
                <w:lang w:val="es-ES" w:eastAsia="es-ES"/>
              </w:rPr>
            </w:pPr>
            <w:r w:rsidRPr="00D02050">
              <w:rPr>
                <w:rFonts w:ascii="Arial" w:hAnsi="Arial" w:cs="Arial"/>
                <w:bCs/>
                <w:color w:val="000000"/>
                <w:sz w:val="16"/>
                <w:szCs w:val="16"/>
                <w:lang w:val="es-ES" w:eastAsia="es-ES"/>
              </w:rPr>
              <w:t>C=1,65</w:t>
            </w:r>
          </w:p>
        </w:tc>
        <w:tc>
          <w:tcPr>
            <w:tcW w:w="678" w:type="pct"/>
            <w:gridSpan w:val="2"/>
            <w:tcBorders>
              <w:bottom w:val="single" w:sz="4" w:space="0" w:color="auto"/>
            </w:tcBorders>
            <w:shd w:val="clear" w:color="auto" w:fill="8DB3E2"/>
            <w:vAlign w:val="center"/>
          </w:tcPr>
          <w:p w:rsidR="00202542" w:rsidRPr="00D02050" w:rsidRDefault="00202542" w:rsidP="00541F31">
            <w:pPr>
              <w:autoSpaceDE w:val="0"/>
              <w:autoSpaceDN w:val="0"/>
              <w:adjustRightInd w:val="0"/>
              <w:spacing w:after="0"/>
              <w:ind w:right="129" w:firstLine="0"/>
              <w:jc w:val="right"/>
              <w:rPr>
                <w:rFonts w:ascii="Arial" w:hAnsi="Arial" w:cs="Arial"/>
                <w:color w:val="000000"/>
                <w:sz w:val="16"/>
                <w:szCs w:val="16"/>
                <w:lang w:val="es-ES" w:eastAsia="es-ES"/>
              </w:rPr>
            </w:pPr>
            <w:proofErr w:type="spellStart"/>
            <w:r w:rsidRPr="00D02050">
              <w:rPr>
                <w:rFonts w:ascii="Arial" w:hAnsi="Arial" w:cs="Arial"/>
                <w:color w:val="000000"/>
                <w:sz w:val="16"/>
                <w:szCs w:val="16"/>
                <w:lang w:val="es-ES" w:eastAsia="es-ES"/>
              </w:rPr>
              <w:t>Coef</w:t>
            </w:r>
            <w:proofErr w:type="spellEnd"/>
            <w:r w:rsidRPr="00D02050">
              <w:rPr>
                <w:rFonts w:ascii="Arial" w:hAnsi="Arial" w:cs="Arial"/>
                <w:color w:val="000000"/>
                <w:sz w:val="16"/>
                <w:szCs w:val="16"/>
                <w:lang w:val="es-ES" w:eastAsia="es-ES"/>
              </w:rPr>
              <w:t>.</w:t>
            </w:r>
          </w:p>
          <w:p w:rsidR="00202542" w:rsidRPr="00D02050" w:rsidRDefault="00202542" w:rsidP="00541F31">
            <w:pPr>
              <w:autoSpaceDE w:val="0"/>
              <w:autoSpaceDN w:val="0"/>
              <w:adjustRightInd w:val="0"/>
              <w:spacing w:after="0"/>
              <w:ind w:right="129" w:firstLine="0"/>
              <w:jc w:val="right"/>
              <w:rPr>
                <w:rFonts w:ascii="Arial" w:hAnsi="Arial" w:cs="Arial"/>
                <w:color w:val="000000"/>
                <w:sz w:val="16"/>
                <w:szCs w:val="16"/>
                <w:lang w:val="es-ES" w:eastAsia="es-ES"/>
              </w:rPr>
            </w:pPr>
            <w:r w:rsidRPr="00D02050">
              <w:rPr>
                <w:rFonts w:ascii="Arial" w:hAnsi="Arial" w:cs="Arial"/>
                <w:color w:val="000000"/>
                <w:sz w:val="16"/>
                <w:szCs w:val="16"/>
                <w:lang w:val="es-ES" w:eastAsia="es-ES"/>
              </w:rPr>
              <w:t>Autopista</w:t>
            </w:r>
          </w:p>
          <w:p w:rsidR="00202542" w:rsidRPr="00D02050" w:rsidRDefault="00202542" w:rsidP="00541F31">
            <w:pPr>
              <w:autoSpaceDE w:val="0"/>
              <w:autoSpaceDN w:val="0"/>
              <w:adjustRightInd w:val="0"/>
              <w:spacing w:after="0"/>
              <w:ind w:right="129" w:firstLine="0"/>
              <w:jc w:val="right"/>
              <w:rPr>
                <w:rFonts w:ascii="Arial" w:hAnsi="Arial" w:cs="Arial"/>
                <w:color w:val="000000"/>
                <w:sz w:val="16"/>
                <w:szCs w:val="16"/>
                <w:lang w:val="es-ES" w:eastAsia="es-ES"/>
              </w:rPr>
            </w:pPr>
            <w:r w:rsidRPr="00D02050">
              <w:rPr>
                <w:rFonts w:ascii="Arial" w:hAnsi="Arial" w:cs="Arial"/>
                <w:color w:val="000000"/>
                <w:sz w:val="16"/>
                <w:szCs w:val="16"/>
                <w:lang w:val="es-ES" w:eastAsia="es-ES"/>
              </w:rPr>
              <w:t>C=1</w:t>
            </w:r>
          </w:p>
        </w:tc>
        <w:tc>
          <w:tcPr>
            <w:tcW w:w="713" w:type="pct"/>
            <w:tcBorders>
              <w:bottom w:val="single" w:sz="4" w:space="0" w:color="auto"/>
            </w:tcBorders>
            <w:shd w:val="clear" w:color="auto" w:fill="8DB3E2"/>
            <w:vAlign w:val="center"/>
          </w:tcPr>
          <w:p w:rsidR="00202542" w:rsidRPr="00D02050" w:rsidRDefault="00202542" w:rsidP="00541F31">
            <w:pPr>
              <w:autoSpaceDE w:val="0"/>
              <w:autoSpaceDN w:val="0"/>
              <w:adjustRightInd w:val="0"/>
              <w:spacing w:after="0"/>
              <w:ind w:firstLine="0"/>
              <w:jc w:val="right"/>
              <w:rPr>
                <w:rFonts w:ascii="Arial" w:hAnsi="Arial" w:cs="Arial"/>
                <w:bCs/>
                <w:color w:val="000000"/>
                <w:sz w:val="16"/>
                <w:szCs w:val="16"/>
                <w:lang w:val="es-ES" w:eastAsia="es-ES"/>
              </w:rPr>
            </w:pPr>
            <w:r w:rsidRPr="00D02050">
              <w:rPr>
                <w:rFonts w:ascii="Arial" w:hAnsi="Arial" w:cs="Arial"/>
                <w:bCs/>
                <w:color w:val="000000"/>
                <w:sz w:val="16"/>
                <w:szCs w:val="16"/>
                <w:lang w:val="es-ES" w:eastAsia="es-ES"/>
              </w:rPr>
              <w:t>Recaudación Teórica 2020</w:t>
            </w:r>
          </w:p>
          <w:p w:rsidR="00202542" w:rsidRPr="00D02050" w:rsidRDefault="00202542" w:rsidP="00541F31">
            <w:pPr>
              <w:autoSpaceDE w:val="0"/>
              <w:autoSpaceDN w:val="0"/>
              <w:adjustRightInd w:val="0"/>
              <w:spacing w:after="0"/>
              <w:ind w:firstLine="0"/>
              <w:jc w:val="right"/>
              <w:rPr>
                <w:rFonts w:ascii="Arial" w:hAnsi="Arial" w:cs="Arial"/>
                <w:bCs/>
                <w:color w:val="000000"/>
                <w:sz w:val="16"/>
                <w:szCs w:val="16"/>
                <w:lang w:val="es-ES" w:eastAsia="es-ES"/>
              </w:rPr>
            </w:pPr>
            <w:r w:rsidRPr="00D02050">
              <w:rPr>
                <w:rFonts w:ascii="Arial" w:hAnsi="Arial" w:cs="Arial"/>
                <w:bCs/>
                <w:color w:val="000000"/>
                <w:sz w:val="16"/>
                <w:szCs w:val="16"/>
                <w:lang w:val="es-ES" w:eastAsia="es-ES"/>
              </w:rPr>
              <w:t>C=1</w:t>
            </w:r>
          </w:p>
        </w:tc>
      </w:tr>
      <w:tr w:rsidR="00C33E41" w:rsidRPr="00C33E41" w:rsidTr="00294F01">
        <w:trPr>
          <w:trHeight w:hRule="exact" w:val="284"/>
        </w:trPr>
        <w:tc>
          <w:tcPr>
            <w:tcW w:w="644" w:type="pct"/>
            <w:tcBorders>
              <w:top w:val="single" w:sz="4"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left"/>
              <w:rPr>
                <w:rFonts w:ascii="Arial Narrow" w:hAnsi="Arial Narrow" w:cs="Calibri"/>
                <w:color w:val="000000"/>
                <w:lang w:val="es-ES" w:eastAsia="es-ES"/>
              </w:rPr>
            </w:pPr>
            <w:r w:rsidRPr="00C33E41">
              <w:rPr>
                <w:rFonts w:ascii="Arial Narrow" w:hAnsi="Arial Narrow" w:cs="Calibri"/>
                <w:color w:val="000000"/>
                <w:lang w:val="es-ES" w:eastAsia="es-ES"/>
              </w:rPr>
              <w:t>Enero</w:t>
            </w:r>
          </w:p>
        </w:tc>
        <w:tc>
          <w:tcPr>
            <w:tcW w:w="588" w:type="pct"/>
            <w:tcBorders>
              <w:top w:val="single" w:sz="4"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3.437.129</w:t>
            </w:r>
          </w:p>
        </w:tc>
        <w:tc>
          <w:tcPr>
            <w:tcW w:w="555" w:type="pct"/>
            <w:tcBorders>
              <w:top w:val="single" w:sz="4"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1,00095</w:t>
            </w:r>
          </w:p>
        </w:tc>
        <w:tc>
          <w:tcPr>
            <w:tcW w:w="492" w:type="pct"/>
            <w:tcBorders>
              <w:top w:val="single" w:sz="4"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lang w:val="es-ES" w:eastAsia="es-ES"/>
              </w:rPr>
            </w:pPr>
            <w:r w:rsidRPr="00C33E41">
              <w:rPr>
                <w:rFonts w:ascii="Arial Narrow" w:hAnsi="Arial Narrow" w:cs="Calibri"/>
                <w:bCs/>
                <w:color w:val="000000"/>
                <w:lang w:val="es-ES" w:eastAsia="es-ES"/>
              </w:rPr>
              <w:t>1,13%</w:t>
            </w:r>
          </w:p>
        </w:tc>
        <w:tc>
          <w:tcPr>
            <w:tcW w:w="288" w:type="pct"/>
            <w:tcBorders>
              <w:top w:val="single" w:sz="4"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1,65</w:t>
            </w:r>
          </w:p>
        </w:tc>
        <w:tc>
          <w:tcPr>
            <w:tcW w:w="408" w:type="pct"/>
            <w:tcBorders>
              <w:top w:val="single" w:sz="4"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0,01865</w:t>
            </w:r>
          </w:p>
        </w:tc>
        <w:tc>
          <w:tcPr>
            <w:tcW w:w="634" w:type="pct"/>
            <w:tcBorders>
              <w:top w:val="single" w:sz="4"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3.504.540</w:t>
            </w:r>
          </w:p>
        </w:tc>
        <w:tc>
          <w:tcPr>
            <w:tcW w:w="237" w:type="pct"/>
            <w:tcBorders>
              <w:top w:val="single" w:sz="4"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w:t>
            </w:r>
          </w:p>
        </w:tc>
        <w:tc>
          <w:tcPr>
            <w:tcW w:w="441" w:type="pct"/>
            <w:tcBorders>
              <w:top w:val="single" w:sz="4"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lang w:val="es-ES" w:eastAsia="es-ES"/>
              </w:rPr>
            </w:pPr>
            <w:r w:rsidRPr="00C33E41">
              <w:rPr>
                <w:rFonts w:ascii="Arial Narrow" w:hAnsi="Arial Narrow" w:cs="Calibri"/>
                <w:bCs/>
                <w:color w:val="000000"/>
                <w:lang w:val="es-ES" w:eastAsia="es-ES"/>
              </w:rPr>
              <w:t>1,13%</w:t>
            </w:r>
          </w:p>
        </w:tc>
        <w:tc>
          <w:tcPr>
            <w:tcW w:w="713" w:type="pct"/>
            <w:tcBorders>
              <w:top w:val="single" w:sz="4"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3.479.271</w:t>
            </w:r>
          </w:p>
        </w:tc>
      </w:tr>
      <w:tr w:rsidR="00C33E41" w:rsidRPr="00C33E41" w:rsidTr="00294F01">
        <w:trPr>
          <w:trHeight w:hRule="exact" w:val="284"/>
        </w:trPr>
        <w:tc>
          <w:tcPr>
            <w:tcW w:w="64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left"/>
              <w:rPr>
                <w:rFonts w:ascii="Arial Narrow" w:hAnsi="Arial Narrow" w:cs="Calibri"/>
                <w:color w:val="000000"/>
                <w:lang w:val="es-ES" w:eastAsia="es-ES"/>
              </w:rPr>
            </w:pPr>
            <w:r w:rsidRPr="00C33E41">
              <w:rPr>
                <w:rFonts w:ascii="Arial Narrow" w:hAnsi="Arial Narrow" w:cs="Calibri"/>
                <w:color w:val="000000"/>
                <w:lang w:val="es-ES" w:eastAsia="es-ES"/>
              </w:rPr>
              <w:t>Febrero</w:t>
            </w:r>
          </w:p>
        </w:tc>
        <w:tc>
          <w:tcPr>
            <w:tcW w:w="5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3.520.115</w:t>
            </w:r>
          </w:p>
        </w:tc>
        <w:tc>
          <w:tcPr>
            <w:tcW w:w="555"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1,00095</w:t>
            </w:r>
          </w:p>
        </w:tc>
        <w:tc>
          <w:tcPr>
            <w:tcW w:w="492"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lang w:val="es-ES" w:eastAsia="es-ES"/>
              </w:rPr>
            </w:pPr>
            <w:r w:rsidRPr="00C33E41">
              <w:rPr>
                <w:rFonts w:ascii="Arial Narrow" w:hAnsi="Arial Narrow" w:cs="Calibri"/>
                <w:bCs/>
                <w:color w:val="000000"/>
                <w:lang w:val="es-ES" w:eastAsia="es-ES"/>
              </w:rPr>
              <w:t>1,57%</w:t>
            </w:r>
          </w:p>
        </w:tc>
        <w:tc>
          <w:tcPr>
            <w:tcW w:w="2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1,65</w:t>
            </w:r>
          </w:p>
        </w:tc>
        <w:tc>
          <w:tcPr>
            <w:tcW w:w="40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0,02591</w:t>
            </w:r>
          </w:p>
        </w:tc>
        <w:tc>
          <w:tcPr>
            <w:tcW w:w="63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3.743.832</w:t>
            </w:r>
          </w:p>
        </w:tc>
        <w:tc>
          <w:tcPr>
            <w:tcW w:w="237"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w:t>
            </w:r>
          </w:p>
        </w:tc>
        <w:tc>
          <w:tcPr>
            <w:tcW w:w="441"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lang w:val="es-ES" w:eastAsia="es-ES"/>
              </w:rPr>
            </w:pPr>
            <w:r w:rsidRPr="00C33E41">
              <w:rPr>
                <w:rFonts w:ascii="Arial Narrow" w:hAnsi="Arial Narrow" w:cs="Calibri"/>
                <w:bCs/>
                <w:color w:val="000000"/>
                <w:lang w:val="es-ES" w:eastAsia="es-ES"/>
              </w:rPr>
              <w:t>1,57%</w:t>
            </w:r>
          </w:p>
        </w:tc>
        <w:tc>
          <w:tcPr>
            <w:tcW w:w="713"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3.706.591</w:t>
            </w:r>
          </w:p>
        </w:tc>
      </w:tr>
      <w:tr w:rsidR="00C33E41" w:rsidRPr="00C33E41" w:rsidTr="00294F01">
        <w:trPr>
          <w:trHeight w:hRule="exact" w:val="284"/>
        </w:trPr>
        <w:tc>
          <w:tcPr>
            <w:tcW w:w="64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left"/>
              <w:rPr>
                <w:rFonts w:ascii="Arial Narrow" w:hAnsi="Arial Narrow" w:cs="Calibri"/>
                <w:color w:val="000000"/>
                <w:lang w:val="es-ES" w:eastAsia="es-ES"/>
              </w:rPr>
            </w:pPr>
            <w:r w:rsidRPr="00C33E41">
              <w:rPr>
                <w:rFonts w:ascii="Arial Narrow" w:hAnsi="Arial Narrow" w:cs="Calibri"/>
                <w:color w:val="000000"/>
                <w:lang w:val="es-ES" w:eastAsia="es-ES"/>
              </w:rPr>
              <w:t>Marzo</w:t>
            </w:r>
          </w:p>
        </w:tc>
        <w:tc>
          <w:tcPr>
            <w:tcW w:w="5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3.900.956</w:t>
            </w:r>
          </w:p>
        </w:tc>
        <w:tc>
          <w:tcPr>
            <w:tcW w:w="555"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1,00095</w:t>
            </w:r>
          </w:p>
        </w:tc>
        <w:tc>
          <w:tcPr>
            <w:tcW w:w="492"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lang w:val="es-ES" w:eastAsia="es-ES"/>
              </w:rPr>
            </w:pPr>
            <w:r w:rsidRPr="00C33E41">
              <w:rPr>
                <w:rFonts w:ascii="Arial Narrow" w:hAnsi="Arial Narrow" w:cs="Calibri"/>
                <w:bCs/>
                <w:color w:val="000000"/>
                <w:lang w:val="es-ES" w:eastAsia="es-ES"/>
              </w:rPr>
              <w:t>-37,21%</w:t>
            </w:r>
          </w:p>
        </w:tc>
        <w:tc>
          <w:tcPr>
            <w:tcW w:w="2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1,65</w:t>
            </w:r>
          </w:p>
        </w:tc>
        <w:tc>
          <w:tcPr>
            <w:tcW w:w="40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-0,61397</w:t>
            </w:r>
          </w:p>
        </w:tc>
        <w:tc>
          <w:tcPr>
            <w:tcW w:w="63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1.507.336</w:t>
            </w:r>
          </w:p>
        </w:tc>
        <w:tc>
          <w:tcPr>
            <w:tcW w:w="237"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w:t>
            </w:r>
          </w:p>
        </w:tc>
        <w:tc>
          <w:tcPr>
            <w:tcW w:w="441"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lang w:val="es-ES" w:eastAsia="es-ES"/>
              </w:rPr>
            </w:pPr>
            <w:r w:rsidRPr="00C33E41">
              <w:rPr>
                <w:rFonts w:ascii="Arial Narrow" w:hAnsi="Arial Narrow" w:cs="Calibri"/>
                <w:bCs/>
                <w:color w:val="000000"/>
                <w:lang w:val="es-ES" w:eastAsia="es-ES"/>
              </w:rPr>
              <w:t>-37,21%</w:t>
            </w:r>
          </w:p>
        </w:tc>
        <w:tc>
          <w:tcPr>
            <w:tcW w:w="713"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2.451.737</w:t>
            </w:r>
          </w:p>
        </w:tc>
      </w:tr>
      <w:tr w:rsidR="00C33E41" w:rsidRPr="00C33E41" w:rsidTr="00294F01">
        <w:trPr>
          <w:trHeight w:hRule="exact" w:val="284"/>
        </w:trPr>
        <w:tc>
          <w:tcPr>
            <w:tcW w:w="64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left"/>
              <w:rPr>
                <w:rFonts w:ascii="Arial Narrow" w:hAnsi="Arial Narrow" w:cs="Calibri"/>
                <w:color w:val="000000"/>
                <w:lang w:val="es-ES" w:eastAsia="es-ES"/>
              </w:rPr>
            </w:pPr>
            <w:r w:rsidRPr="00C33E41">
              <w:rPr>
                <w:rFonts w:ascii="Arial Narrow" w:hAnsi="Arial Narrow" w:cs="Calibri"/>
                <w:color w:val="000000"/>
                <w:lang w:val="es-ES" w:eastAsia="es-ES"/>
              </w:rPr>
              <w:t>Abril</w:t>
            </w:r>
          </w:p>
        </w:tc>
        <w:tc>
          <w:tcPr>
            <w:tcW w:w="5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4.180.451</w:t>
            </w:r>
          </w:p>
        </w:tc>
        <w:tc>
          <w:tcPr>
            <w:tcW w:w="555"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1,00095</w:t>
            </w:r>
          </w:p>
        </w:tc>
        <w:tc>
          <w:tcPr>
            <w:tcW w:w="492"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lang w:val="es-ES" w:eastAsia="es-ES"/>
              </w:rPr>
            </w:pPr>
            <w:r w:rsidRPr="00C33E41">
              <w:rPr>
                <w:rFonts w:ascii="Arial Narrow" w:hAnsi="Arial Narrow" w:cs="Calibri"/>
                <w:bCs/>
                <w:color w:val="000000"/>
                <w:lang w:val="es-ES" w:eastAsia="es-ES"/>
              </w:rPr>
              <w:t>-68,79%</w:t>
            </w:r>
          </w:p>
        </w:tc>
        <w:tc>
          <w:tcPr>
            <w:tcW w:w="2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1,65</w:t>
            </w:r>
          </w:p>
        </w:tc>
        <w:tc>
          <w:tcPr>
            <w:tcW w:w="40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-1,13504</w:t>
            </w:r>
          </w:p>
        </w:tc>
        <w:tc>
          <w:tcPr>
            <w:tcW w:w="63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-565.043</w:t>
            </w:r>
          </w:p>
        </w:tc>
        <w:tc>
          <w:tcPr>
            <w:tcW w:w="237"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w:t>
            </w:r>
          </w:p>
        </w:tc>
        <w:tc>
          <w:tcPr>
            <w:tcW w:w="441"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lang w:val="es-ES" w:eastAsia="es-ES"/>
              </w:rPr>
            </w:pPr>
            <w:r w:rsidRPr="00C33E41">
              <w:rPr>
                <w:rFonts w:ascii="Arial Narrow" w:hAnsi="Arial Narrow" w:cs="Calibri"/>
                <w:bCs/>
                <w:color w:val="000000"/>
                <w:lang w:val="es-ES" w:eastAsia="es-ES"/>
              </w:rPr>
              <w:t>-68,79%</w:t>
            </w:r>
          </w:p>
        </w:tc>
        <w:tc>
          <w:tcPr>
            <w:tcW w:w="713"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1.305.958</w:t>
            </w:r>
          </w:p>
        </w:tc>
      </w:tr>
      <w:tr w:rsidR="00C33E41" w:rsidRPr="00C33E41" w:rsidTr="00294F01">
        <w:trPr>
          <w:trHeight w:hRule="exact" w:val="284"/>
        </w:trPr>
        <w:tc>
          <w:tcPr>
            <w:tcW w:w="64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left"/>
              <w:rPr>
                <w:rFonts w:ascii="Arial Narrow" w:hAnsi="Arial Narrow" w:cs="Calibri"/>
                <w:color w:val="000000"/>
                <w:lang w:val="es-ES" w:eastAsia="es-ES"/>
              </w:rPr>
            </w:pPr>
            <w:r w:rsidRPr="00C33E41">
              <w:rPr>
                <w:rFonts w:ascii="Arial Narrow" w:hAnsi="Arial Narrow" w:cs="Calibri"/>
                <w:color w:val="000000"/>
                <w:lang w:val="es-ES" w:eastAsia="es-ES"/>
              </w:rPr>
              <w:t>Mayo</w:t>
            </w:r>
          </w:p>
        </w:tc>
        <w:tc>
          <w:tcPr>
            <w:tcW w:w="5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3.948.302</w:t>
            </w:r>
          </w:p>
        </w:tc>
        <w:tc>
          <w:tcPr>
            <w:tcW w:w="555"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1,00095</w:t>
            </w:r>
          </w:p>
        </w:tc>
        <w:tc>
          <w:tcPr>
            <w:tcW w:w="492"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lang w:val="es-ES" w:eastAsia="es-ES"/>
              </w:rPr>
            </w:pPr>
            <w:r w:rsidRPr="00C33E41">
              <w:rPr>
                <w:rFonts w:ascii="Arial Narrow" w:hAnsi="Arial Narrow" w:cs="Calibri"/>
                <w:bCs/>
                <w:color w:val="000000"/>
                <w:lang w:val="es-ES" w:eastAsia="es-ES"/>
              </w:rPr>
              <w:t>-47,59%</w:t>
            </w:r>
          </w:p>
        </w:tc>
        <w:tc>
          <w:tcPr>
            <w:tcW w:w="2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1,65</w:t>
            </w:r>
          </w:p>
        </w:tc>
        <w:tc>
          <w:tcPr>
            <w:tcW w:w="40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-0,78524</w:t>
            </w:r>
          </w:p>
        </w:tc>
        <w:tc>
          <w:tcPr>
            <w:tcW w:w="63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848.763</w:t>
            </w:r>
          </w:p>
        </w:tc>
        <w:tc>
          <w:tcPr>
            <w:tcW w:w="237"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w:t>
            </w:r>
          </w:p>
        </w:tc>
        <w:tc>
          <w:tcPr>
            <w:tcW w:w="441"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lang w:val="es-ES" w:eastAsia="es-ES"/>
              </w:rPr>
            </w:pPr>
            <w:r w:rsidRPr="00C33E41">
              <w:rPr>
                <w:rFonts w:ascii="Arial Narrow" w:hAnsi="Arial Narrow" w:cs="Calibri"/>
                <w:bCs/>
                <w:color w:val="000000"/>
                <w:lang w:val="es-ES" w:eastAsia="es-ES"/>
              </w:rPr>
              <w:t>-47,59%</w:t>
            </w:r>
          </w:p>
        </w:tc>
        <w:tc>
          <w:tcPr>
            <w:tcW w:w="713"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2.071.271</w:t>
            </w:r>
          </w:p>
        </w:tc>
      </w:tr>
      <w:tr w:rsidR="00C33E41" w:rsidRPr="00C33E41" w:rsidTr="00294F01">
        <w:trPr>
          <w:trHeight w:hRule="exact" w:val="284"/>
        </w:trPr>
        <w:tc>
          <w:tcPr>
            <w:tcW w:w="64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left"/>
              <w:rPr>
                <w:rFonts w:ascii="Arial Narrow" w:hAnsi="Arial Narrow" w:cs="Calibri"/>
                <w:color w:val="000000"/>
                <w:lang w:val="es-ES" w:eastAsia="es-ES"/>
              </w:rPr>
            </w:pPr>
            <w:r w:rsidRPr="00C33E41">
              <w:rPr>
                <w:rFonts w:ascii="Arial Narrow" w:hAnsi="Arial Narrow" w:cs="Calibri"/>
                <w:color w:val="000000"/>
                <w:lang w:val="es-ES" w:eastAsia="es-ES"/>
              </w:rPr>
              <w:t>Junio</w:t>
            </w:r>
          </w:p>
        </w:tc>
        <w:tc>
          <w:tcPr>
            <w:tcW w:w="5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3.913.957</w:t>
            </w:r>
          </w:p>
        </w:tc>
        <w:tc>
          <w:tcPr>
            <w:tcW w:w="555"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1,00095</w:t>
            </w:r>
          </w:p>
        </w:tc>
        <w:tc>
          <w:tcPr>
            <w:tcW w:w="492"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lang w:val="es-ES" w:eastAsia="es-ES"/>
              </w:rPr>
            </w:pPr>
            <w:r w:rsidRPr="00C33E41">
              <w:rPr>
                <w:rFonts w:ascii="Arial Narrow" w:hAnsi="Arial Narrow" w:cs="Calibri"/>
                <w:bCs/>
                <w:color w:val="000000"/>
                <w:lang w:val="es-ES" w:eastAsia="es-ES"/>
              </w:rPr>
              <w:t>-21,39%</w:t>
            </w:r>
          </w:p>
        </w:tc>
        <w:tc>
          <w:tcPr>
            <w:tcW w:w="2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1,65</w:t>
            </w:r>
          </w:p>
        </w:tc>
        <w:tc>
          <w:tcPr>
            <w:tcW w:w="40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-0,35294</w:t>
            </w:r>
          </w:p>
        </w:tc>
        <w:tc>
          <w:tcPr>
            <w:tcW w:w="63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2.534.991</w:t>
            </w:r>
          </w:p>
        </w:tc>
        <w:tc>
          <w:tcPr>
            <w:tcW w:w="237"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w:t>
            </w:r>
          </w:p>
        </w:tc>
        <w:tc>
          <w:tcPr>
            <w:tcW w:w="441"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lang w:val="es-ES" w:eastAsia="es-ES"/>
              </w:rPr>
            </w:pPr>
            <w:r w:rsidRPr="00C33E41">
              <w:rPr>
                <w:rFonts w:ascii="Arial Narrow" w:hAnsi="Arial Narrow" w:cs="Calibri"/>
                <w:bCs/>
                <w:color w:val="000000"/>
                <w:lang w:val="es-ES" w:eastAsia="es-ES"/>
              </w:rPr>
              <w:t>-21,39%</w:t>
            </w:r>
          </w:p>
        </w:tc>
        <w:tc>
          <w:tcPr>
            <w:tcW w:w="713"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3.079.685</w:t>
            </w:r>
          </w:p>
        </w:tc>
      </w:tr>
      <w:tr w:rsidR="00C33E41" w:rsidRPr="00C33E41" w:rsidTr="00294F01">
        <w:trPr>
          <w:trHeight w:hRule="exact" w:val="284"/>
        </w:trPr>
        <w:tc>
          <w:tcPr>
            <w:tcW w:w="64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left"/>
              <w:rPr>
                <w:rFonts w:ascii="Arial Narrow" w:hAnsi="Arial Narrow" w:cs="Calibri"/>
                <w:color w:val="000000"/>
                <w:lang w:val="es-ES" w:eastAsia="es-ES"/>
              </w:rPr>
            </w:pPr>
            <w:r w:rsidRPr="00C33E41">
              <w:rPr>
                <w:rFonts w:ascii="Arial Narrow" w:hAnsi="Arial Narrow" w:cs="Calibri"/>
                <w:color w:val="000000"/>
                <w:lang w:val="es-ES" w:eastAsia="es-ES"/>
              </w:rPr>
              <w:t>Julio</w:t>
            </w:r>
          </w:p>
        </w:tc>
        <w:tc>
          <w:tcPr>
            <w:tcW w:w="5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4.796.386</w:t>
            </w:r>
          </w:p>
        </w:tc>
        <w:tc>
          <w:tcPr>
            <w:tcW w:w="555"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1,00095</w:t>
            </w:r>
          </w:p>
        </w:tc>
        <w:tc>
          <w:tcPr>
            <w:tcW w:w="492"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lang w:val="es-ES" w:eastAsia="es-ES"/>
              </w:rPr>
            </w:pPr>
            <w:r w:rsidRPr="00C33E41">
              <w:rPr>
                <w:rFonts w:ascii="Arial Narrow" w:hAnsi="Arial Narrow" w:cs="Calibri"/>
                <w:bCs/>
                <w:color w:val="000000"/>
                <w:lang w:val="es-ES" w:eastAsia="es-ES"/>
              </w:rPr>
              <w:t>-13,96%</w:t>
            </w:r>
          </w:p>
        </w:tc>
        <w:tc>
          <w:tcPr>
            <w:tcW w:w="2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1,65</w:t>
            </w:r>
          </w:p>
        </w:tc>
        <w:tc>
          <w:tcPr>
            <w:tcW w:w="40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-0,23034</w:t>
            </w:r>
          </w:p>
        </w:tc>
        <w:tc>
          <w:tcPr>
            <w:tcW w:w="63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3.695.093</w:t>
            </w:r>
          </w:p>
        </w:tc>
        <w:tc>
          <w:tcPr>
            <w:tcW w:w="237"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w:t>
            </w:r>
          </w:p>
        </w:tc>
        <w:tc>
          <w:tcPr>
            <w:tcW w:w="441"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lang w:val="es-ES" w:eastAsia="es-ES"/>
              </w:rPr>
            </w:pPr>
            <w:r w:rsidRPr="00C33E41">
              <w:rPr>
                <w:rFonts w:ascii="Arial Narrow" w:hAnsi="Arial Narrow" w:cs="Calibri"/>
                <w:bCs/>
                <w:color w:val="000000"/>
                <w:lang w:val="es-ES" w:eastAsia="es-ES"/>
              </w:rPr>
              <w:t>-13,96%</w:t>
            </w:r>
          </w:p>
        </w:tc>
        <w:tc>
          <w:tcPr>
            <w:tcW w:w="713"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4.130.731</w:t>
            </w:r>
          </w:p>
        </w:tc>
      </w:tr>
      <w:tr w:rsidR="00C33E41" w:rsidRPr="00C33E41" w:rsidTr="00294F01">
        <w:trPr>
          <w:trHeight w:hRule="exact" w:val="284"/>
        </w:trPr>
        <w:tc>
          <w:tcPr>
            <w:tcW w:w="64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left"/>
              <w:rPr>
                <w:rFonts w:ascii="Arial Narrow" w:hAnsi="Arial Narrow" w:cs="Calibri"/>
                <w:color w:val="000000"/>
                <w:lang w:val="es-ES" w:eastAsia="es-ES"/>
              </w:rPr>
            </w:pPr>
            <w:r w:rsidRPr="00C33E41">
              <w:rPr>
                <w:rFonts w:ascii="Arial Narrow" w:hAnsi="Arial Narrow" w:cs="Calibri"/>
                <w:color w:val="000000"/>
                <w:lang w:val="es-ES" w:eastAsia="es-ES"/>
              </w:rPr>
              <w:t>Agosto</w:t>
            </w:r>
          </w:p>
        </w:tc>
        <w:tc>
          <w:tcPr>
            <w:tcW w:w="5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4.579.623</w:t>
            </w:r>
          </w:p>
        </w:tc>
        <w:tc>
          <w:tcPr>
            <w:tcW w:w="555"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1,00095</w:t>
            </w:r>
          </w:p>
        </w:tc>
        <w:tc>
          <w:tcPr>
            <w:tcW w:w="492"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lang w:val="es-ES" w:eastAsia="es-ES"/>
              </w:rPr>
            </w:pPr>
            <w:r w:rsidRPr="00C33E41">
              <w:rPr>
                <w:rFonts w:ascii="Arial Narrow" w:hAnsi="Arial Narrow" w:cs="Calibri"/>
                <w:bCs/>
                <w:color w:val="000000"/>
                <w:lang w:val="es-ES" w:eastAsia="es-ES"/>
              </w:rPr>
              <w:t>-11,83%</w:t>
            </w:r>
          </w:p>
        </w:tc>
        <w:tc>
          <w:tcPr>
            <w:tcW w:w="2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1,65</w:t>
            </w:r>
          </w:p>
        </w:tc>
        <w:tc>
          <w:tcPr>
            <w:tcW w:w="40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-0,19520</w:t>
            </w:r>
          </w:p>
        </w:tc>
        <w:tc>
          <w:tcPr>
            <w:tcW w:w="63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3.689.205</w:t>
            </w:r>
          </w:p>
        </w:tc>
        <w:tc>
          <w:tcPr>
            <w:tcW w:w="237"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w:t>
            </w:r>
          </w:p>
        </w:tc>
        <w:tc>
          <w:tcPr>
            <w:tcW w:w="441"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lang w:val="es-ES" w:eastAsia="es-ES"/>
              </w:rPr>
            </w:pPr>
            <w:r w:rsidRPr="00C33E41">
              <w:rPr>
                <w:rFonts w:ascii="Arial Narrow" w:hAnsi="Arial Narrow" w:cs="Calibri"/>
                <w:bCs/>
                <w:color w:val="000000"/>
                <w:lang w:val="es-ES" w:eastAsia="es-ES"/>
              </w:rPr>
              <w:t>-11,83%</w:t>
            </w:r>
          </w:p>
        </w:tc>
        <w:tc>
          <w:tcPr>
            <w:tcW w:w="713"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4.041.690</w:t>
            </w:r>
          </w:p>
        </w:tc>
      </w:tr>
      <w:tr w:rsidR="00C33E41" w:rsidRPr="00C33E41" w:rsidTr="00294F01">
        <w:trPr>
          <w:trHeight w:hRule="exact" w:val="284"/>
        </w:trPr>
        <w:tc>
          <w:tcPr>
            <w:tcW w:w="64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left"/>
              <w:rPr>
                <w:rFonts w:ascii="Arial Narrow" w:hAnsi="Arial Narrow" w:cs="Calibri"/>
                <w:color w:val="000000"/>
                <w:lang w:val="es-ES" w:eastAsia="es-ES"/>
              </w:rPr>
            </w:pPr>
            <w:r w:rsidRPr="00C33E41">
              <w:rPr>
                <w:rFonts w:ascii="Arial Narrow" w:hAnsi="Arial Narrow" w:cs="Calibri"/>
                <w:color w:val="000000"/>
                <w:lang w:val="es-ES" w:eastAsia="es-ES"/>
              </w:rPr>
              <w:t>Septiembre</w:t>
            </w:r>
          </w:p>
        </w:tc>
        <w:tc>
          <w:tcPr>
            <w:tcW w:w="5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3.918.449</w:t>
            </w:r>
          </w:p>
        </w:tc>
        <w:tc>
          <w:tcPr>
            <w:tcW w:w="555"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1,00095</w:t>
            </w:r>
          </w:p>
        </w:tc>
        <w:tc>
          <w:tcPr>
            <w:tcW w:w="492"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lang w:val="es-ES" w:eastAsia="es-ES"/>
              </w:rPr>
            </w:pPr>
            <w:r w:rsidRPr="00C33E41">
              <w:rPr>
                <w:rFonts w:ascii="Arial Narrow" w:hAnsi="Arial Narrow" w:cs="Calibri"/>
                <w:bCs/>
                <w:color w:val="000000"/>
                <w:lang w:val="es-ES" w:eastAsia="es-ES"/>
              </w:rPr>
              <w:t>-8,74%</w:t>
            </w:r>
          </w:p>
        </w:tc>
        <w:tc>
          <w:tcPr>
            <w:tcW w:w="2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1,65</w:t>
            </w:r>
          </w:p>
        </w:tc>
        <w:tc>
          <w:tcPr>
            <w:tcW w:w="40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-0,14421</w:t>
            </w:r>
          </w:p>
        </w:tc>
        <w:tc>
          <w:tcPr>
            <w:tcW w:w="63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3.356.555</w:t>
            </w:r>
          </w:p>
        </w:tc>
        <w:tc>
          <w:tcPr>
            <w:tcW w:w="237"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w:t>
            </w:r>
          </w:p>
        </w:tc>
        <w:tc>
          <w:tcPr>
            <w:tcW w:w="441"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lang w:val="es-ES" w:eastAsia="es-ES"/>
              </w:rPr>
            </w:pPr>
            <w:r w:rsidRPr="00C33E41">
              <w:rPr>
                <w:rFonts w:ascii="Arial Narrow" w:hAnsi="Arial Narrow" w:cs="Calibri"/>
                <w:bCs/>
                <w:color w:val="000000"/>
                <w:lang w:val="es-ES" w:eastAsia="es-ES"/>
              </w:rPr>
              <w:t>-8,74%</w:t>
            </w:r>
          </w:p>
        </w:tc>
        <w:tc>
          <w:tcPr>
            <w:tcW w:w="713"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3.579.374</w:t>
            </w:r>
          </w:p>
        </w:tc>
      </w:tr>
      <w:tr w:rsidR="00C33E41" w:rsidRPr="00C33E41" w:rsidTr="00294F01">
        <w:trPr>
          <w:trHeight w:hRule="exact" w:val="284"/>
        </w:trPr>
        <w:tc>
          <w:tcPr>
            <w:tcW w:w="64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left"/>
              <w:rPr>
                <w:rFonts w:ascii="Arial Narrow" w:hAnsi="Arial Narrow" w:cs="Calibri"/>
                <w:color w:val="000000"/>
                <w:lang w:val="es-ES" w:eastAsia="es-ES"/>
              </w:rPr>
            </w:pPr>
            <w:r w:rsidRPr="00C33E41">
              <w:rPr>
                <w:rFonts w:ascii="Arial Narrow" w:hAnsi="Arial Narrow" w:cs="Calibri"/>
                <w:color w:val="000000"/>
                <w:lang w:val="es-ES" w:eastAsia="es-ES"/>
              </w:rPr>
              <w:t>Octubre</w:t>
            </w:r>
          </w:p>
        </w:tc>
        <w:tc>
          <w:tcPr>
            <w:tcW w:w="5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4.365.241</w:t>
            </w:r>
          </w:p>
        </w:tc>
        <w:tc>
          <w:tcPr>
            <w:tcW w:w="555"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1,00095</w:t>
            </w:r>
          </w:p>
        </w:tc>
        <w:tc>
          <w:tcPr>
            <w:tcW w:w="492"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lang w:val="es-ES" w:eastAsia="es-ES"/>
              </w:rPr>
            </w:pPr>
            <w:r w:rsidRPr="00C33E41">
              <w:rPr>
                <w:rFonts w:ascii="Arial Narrow" w:hAnsi="Arial Narrow" w:cs="Calibri"/>
                <w:bCs/>
                <w:color w:val="000000"/>
                <w:lang w:val="es-ES" w:eastAsia="es-ES"/>
              </w:rPr>
              <w:t>-17,80%</w:t>
            </w:r>
          </w:p>
        </w:tc>
        <w:tc>
          <w:tcPr>
            <w:tcW w:w="2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1,65</w:t>
            </w:r>
          </w:p>
        </w:tc>
        <w:tc>
          <w:tcPr>
            <w:tcW w:w="40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-0,29370</w:t>
            </w:r>
          </w:p>
        </w:tc>
        <w:tc>
          <w:tcPr>
            <w:tcW w:w="63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3.086.098</w:t>
            </w:r>
          </w:p>
        </w:tc>
        <w:tc>
          <w:tcPr>
            <w:tcW w:w="237"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w:t>
            </w:r>
          </w:p>
        </w:tc>
        <w:tc>
          <w:tcPr>
            <w:tcW w:w="441"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lang w:val="es-ES" w:eastAsia="es-ES"/>
              </w:rPr>
            </w:pPr>
            <w:r w:rsidRPr="00C33E41">
              <w:rPr>
                <w:rFonts w:ascii="Arial Narrow" w:hAnsi="Arial Narrow" w:cs="Calibri"/>
                <w:bCs/>
                <w:color w:val="000000"/>
                <w:lang w:val="es-ES" w:eastAsia="es-ES"/>
              </w:rPr>
              <w:t>-17,80%</w:t>
            </w:r>
          </w:p>
        </w:tc>
        <w:tc>
          <w:tcPr>
            <w:tcW w:w="713"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3.591.637</w:t>
            </w:r>
          </w:p>
        </w:tc>
      </w:tr>
      <w:tr w:rsidR="00C33E41" w:rsidRPr="00C33E41" w:rsidTr="00294F01">
        <w:trPr>
          <w:trHeight w:hRule="exact" w:val="284"/>
        </w:trPr>
        <w:tc>
          <w:tcPr>
            <w:tcW w:w="64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left"/>
              <w:rPr>
                <w:rFonts w:ascii="Arial Narrow" w:hAnsi="Arial Narrow" w:cs="Calibri"/>
                <w:color w:val="000000"/>
                <w:lang w:val="es-ES" w:eastAsia="es-ES"/>
              </w:rPr>
            </w:pPr>
            <w:r w:rsidRPr="00C33E41">
              <w:rPr>
                <w:rFonts w:ascii="Arial Narrow" w:hAnsi="Arial Narrow" w:cs="Calibri"/>
                <w:color w:val="000000"/>
                <w:lang w:val="es-ES" w:eastAsia="es-ES"/>
              </w:rPr>
              <w:t>Noviembre</w:t>
            </w:r>
          </w:p>
        </w:tc>
        <w:tc>
          <w:tcPr>
            <w:tcW w:w="5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4.129.203</w:t>
            </w:r>
          </w:p>
        </w:tc>
        <w:tc>
          <w:tcPr>
            <w:tcW w:w="555"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1,00095</w:t>
            </w:r>
          </w:p>
        </w:tc>
        <w:tc>
          <w:tcPr>
            <w:tcW w:w="492"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lang w:val="es-ES" w:eastAsia="es-ES"/>
              </w:rPr>
            </w:pPr>
            <w:r w:rsidRPr="00C33E41">
              <w:rPr>
                <w:rFonts w:ascii="Arial Narrow" w:hAnsi="Arial Narrow" w:cs="Calibri"/>
                <w:bCs/>
                <w:color w:val="000000"/>
                <w:lang w:val="es-ES" w:eastAsia="es-ES"/>
              </w:rPr>
              <w:t>-19,45%</w:t>
            </w:r>
          </w:p>
        </w:tc>
        <w:tc>
          <w:tcPr>
            <w:tcW w:w="28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1,65</w:t>
            </w:r>
          </w:p>
        </w:tc>
        <w:tc>
          <w:tcPr>
            <w:tcW w:w="408"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-0,32093</w:t>
            </w:r>
          </w:p>
        </w:tc>
        <w:tc>
          <w:tcPr>
            <w:tcW w:w="634"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2.806.702</w:t>
            </w:r>
          </w:p>
        </w:tc>
        <w:tc>
          <w:tcPr>
            <w:tcW w:w="237"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w:t>
            </w:r>
          </w:p>
        </w:tc>
        <w:tc>
          <w:tcPr>
            <w:tcW w:w="441"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lang w:val="es-ES" w:eastAsia="es-ES"/>
              </w:rPr>
            </w:pPr>
            <w:r w:rsidRPr="00C33E41">
              <w:rPr>
                <w:rFonts w:ascii="Arial Narrow" w:hAnsi="Arial Narrow" w:cs="Calibri"/>
                <w:bCs/>
                <w:color w:val="000000"/>
                <w:lang w:val="es-ES" w:eastAsia="es-ES"/>
              </w:rPr>
              <w:t>-19,45%</w:t>
            </w:r>
          </w:p>
        </w:tc>
        <w:tc>
          <w:tcPr>
            <w:tcW w:w="713" w:type="pct"/>
            <w:tcBorders>
              <w:top w:val="single" w:sz="2" w:space="0" w:color="auto"/>
              <w:bottom w:val="single" w:sz="2"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3.329.232</w:t>
            </w:r>
          </w:p>
        </w:tc>
      </w:tr>
      <w:tr w:rsidR="00C33E41" w:rsidRPr="00C33E41" w:rsidTr="00294F01">
        <w:trPr>
          <w:trHeight w:hRule="exact" w:val="284"/>
        </w:trPr>
        <w:tc>
          <w:tcPr>
            <w:tcW w:w="644" w:type="pct"/>
            <w:tcBorders>
              <w:top w:val="single" w:sz="2" w:space="0" w:color="auto"/>
              <w:bottom w:val="single" w:sz="4" w:space="0" w:color="auto"/>
            </w:tcBorders>
            <w:shd w:val="clear" w:color="auto" w:fill="auto"/>
            <w:vAlign w:val="center"/>
          </w:tcPr>
          <w:p w:rsidR="004A60A2" w:rsidRPr="00C33E41" w:rsidRDefault="004A60A2" w:rsidP="00C33E41">
            <w:pPr>
              <w:autoSpaceDE w:val="0"/>
              <w:autoSpaceDN w:val="0"/>
              <w:adjustRightInd w:val="0"/>
              <w:spacing w:after="0"/>
              <w:ind w:firstLine="0"/>
              <w:jc w:val="left"/>
              <w:rPr>
                <w:rFonts w:ascii="Arial Narrow" w:hAnsi="Arial Narrow" w:cs="Calibri"/>
                <w:color w:val="000000"/>
                <w:lang w:val="es-ES" w:eastAsia="es-ES"/>
              </w:rPr>
            </w:pPr>
            <w:r w:rsidRPr="00C33E41">
              <w:rPr>
                <w:rFonts w:ascii="Arial Narrow" w:hAnsi="Arial Narrow" w:cs="Calibri"/>
                <w:color w:val="000000"/>
                <w:lang w:val="es-ES" w:eastAsia="es-ES"/>
              </w:rPr>
              <w:t>Diciembre</w:t>
            </w:r>
          </w:p>
        </w:tc>
        <w:tc>
          <w:tcPr>
            <w:tcW w:w="588" w:type="pct"/>
            <w:tcBorders>
              <w:top w:val="single" w:sz="2" w:space="0" w:color="auto"/>
              <w:bottom w:val="single" w:sz="4"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3.974.117</w:t>
            </w:r>
          </w:p>
        </w:tc>
        <w:tc>
          <w:tcPr>
            <w:tcW w:w="555" w:type="pct"/>
            <w:tcBorders>
              <w:top w:val="single" w:sz="2" w:space="0" w:color="auto"/>
              <w:bottom w:val="single" w:sz="4"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1,00095</w:t>
            </w:r>
          </w:p>
        </w:tc>
        <w:tc>
          <w:tcPr>
            <w:tcW w:w="492" w:type="pct"/>
            <w:tcBorders>
              <w:top w:val="single" w:sz="2" w:space="0" w:color="auto"/>
              <w:bottom w:val="single" w:sz="4"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lang w:val="es-ES" w:eastAsia="es-ES"/>
              </w:rPr>
            </w:pPr>
            <w:r w:rsidRPr="00C33E41">
              <w:rPr>
                <w:rFonts w:ascii="Arial Narrow" w:hAnsi="Arial Narrow" w:cs="Calibri"/>
                <w:bCs/>
                <w:color w:val="000000"/>
                <w:lang w:val="es-ES" w:eastAsia="es-ES"/>
              </w:rPr>
              <w:t>-15,71%</w:t>
            </w:r>
          </w:p>
        </w:tc>
        <w:tc>
          <w:tcPr>
            <w:tcW w:w="288" w:type="pct"/>
            <w:tcBorders>
              <w:top w:val="single" w:sz="2" w:space="0" w:color="auto"/>
              <w:bottom w:val="single" w:sz="4"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1,65</w:t>
            </w:r>
          </w:p>
        </w:tc>
        <w:tc>
          <w:tcPr>
            <w:tcW w:w="408" w:type="pct"/>
            <w:tcBorders>
              <w:top w:val="single" w:sz="2" w:space="0" w:color="auto"/>
              <w:bottom w:val="single" w:sz="4"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-0,25922</w:t>
            </w:r>
          </w:p>
        </w:tc>
        <w:tc>
          <w:tcPr>
            <w:tcW w:w="634" w:type="pct"/>
            <w:tcBorders>
              <w:top w:val="single" w:sz="2" w:space="0" w:color="auto"/>
              <w:bottom w:val="single" w:sz="4"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2.816.657</w:t>
            </w:r>
          </w:p>
        </w:tc>
        <w:tc>
          <w:tcPr>
            <w:tcW w:w="237" w:type="pct"/>
            <w:tcBorders>
              <w:top w:val="single" w:sz="2" w:space="0" w:color="auto"/>
              <w:bottom w:val="single" w:sz="4"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w:t>
            </w:r>
          </w:p>
        </w:tc>
        <w:tc>
          <w:tcPr>
            <w:tcW w:w="441" w:type="pct"/>
            <w:tcBorders>
              <w:top w:val="single" w:sz="2" w:space="0" w:color="auto"/>
              <w:bottom w:val="single" w:sz="4"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bCs/>
                <w:color w:val="000000"/>
                <w:lang w:val="es-ES" w:eastAsia="es-ES"/>
              </w:rPr>
            </w:pPr>
            <w:r w:rsidRPr="00C33E41">
              <w:rPr>
                <w:rFonts w:ascii="Arial Narrow" w:hAnsi="Arial Narrow" w:cs="Calibri"/>
                <w:bCs/>
                <w:color w:val="000000"/>
                <w:lang w:val="es-ES" w:eastAsia="es-ES"/>
              </w:rPr>
              <w:t>-15,71%</w:t>
            </w:r>
          </w:p>
        </w:tc>
        <w:tc>
          <w:tcPr>
            <w:tcW w:w="713" w:type="pct"/>
            <w:tcBorders>
              <w:top w:val="single" w:sz="2" w:space="0" w:color="auto"/>
              <w:bottom w:val="single" w:sz="4" w:space="0" w:color="auto"/>
            </w:tcBorders>
            <w:shd w:val="clear" w:color="auto" w:fill="auto"/>
            <w:vAlign w:val="center"/>
          </w:tcPr>
          <w:p w:rsidR="004A60A2" w:rsidRPr="00C33E41" w:rsidRDefault="004A60A2" w:rsidP="00C33E41">
            <w:pPr>
              <w:autoSpaceDE w:val="0"/>
              <w:autoSpaceDN w:val="0"/>
              <w:adjustRightInd w:val="0"/>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3.277.113</w:t>
            </w:r>
          </w:p>
        </w:tc>
      </w:tr>
      <w:tr w:rsidR="00C33E41" w:rsidRPr="00202542" w:rsidTr="00294F01">
        <w:trPr>
          <w:trHeight w:hRule="exact" w:val="284"/>
        </w:trPr>
        <w:tc>
          <w:tcPr>
            <w:tcW w:w="644" w:type="pct"/>
            <w:tcBorders>
              <w:top w:val="single" w:sz="4" w:space="0" w:color="auto"/>
            </w:tcBorders>
            <w:shd w:val="clear" w:color="auto" w:fill="8DB3E2"/>
            <w:vAlign w:val="center"/>
          </w:tcPr>
          <w:p w:rsidR="004A60A2" w:rsidRPr="00C33E41" w:rsidRDefault="004A60A2" w:rsidP="00C33E41">
            <w:pPr>
              <w:autoSpaceDE w:val="0"/>
              <w:autoSpaceDN w:val="0"/>
              <w:adjustRightInd w:val="0"/>
              <w:spacing w:after="0"/>
              <w:ind w:firstLine="0"/>
              <w:jc w:val="left"/>
              <w:rPr>
                <w:rFonts w:ascii="Arial" w:hAnsi="Arial" w:cs="Arial"/>
                <w:sz w:val="18"/>
                <w:szCs w:val="18"/>
                <w:lang w:val="es-ES" w:eastAsia="es-ES"/>
              </w:rPr>
            </w:pPr>
            <w:r w:rsidRPr="00C33E41">
              <w:rPr>
                <w:rFonts w:ascii="Arial" w:hAnsi="Arial" w:cs="Arial"/>
                <w:sz w:val="18"/>
                <w:szCs w:val="18"/>
                <w:lang w:val="es-ES" w:eastAsia="es-ES"/>
              </w:rPr>
              <w:t>Total</w:t>
            </w:r>
          </w:p>
        </w:tc>
        <w:tc>
          <w:tcPr>
            <w:tcW w:w="588" w:type="pct"/>
            <w:tcBorders>
              <w:top w:val="single" w:sz="4" w:space="0" w:color="auto"/>
            </w:tcBorders>
            <w:shd w:val="clear" w:color="auto" w:fill="8DB3E2"/>
            <w:vAlign w:val="center"/>
          </w:tcPr>
          <w:p w:rsidR="004A60A2" w:rsidRPr="00C33E41" w:rsidRDefault="004A60A2" w:rsidP="004A60A2">
            <w:pPr>
              <w:autoSpaceDE w:val="0"/>
              <w:autoSpaceDN w:val="0"/>
              <w:adjustRightInd w:val="0"/>
              <w:spacing w:after="0"/>
              <w:ind w:firstLine="0"/>
              <w:jc w:val="right"/>
              <w:rPr>
                <w:rFonts w:ascii="Arial" w:hAnsi="Arial" w:cs="Arial"/>
                <w:sz w:val="18"/>
                <w:szCs w:val="18"/>
                <w:lang w:val="es-ES" w:eastAsia="es-ES"/>
              </w:rPr>
            </w:pPr>
            <w:r w:rsidRPr="00C33E41">
              <w:rPr>
                <w:rFonts w:ascii="Arial" w:hAnsi="Arial" w:cs="Arial"/>
                <w:sz w:val="18"/>
                <w:szCs w:val="18"/>
                <w:lang w:val="es-ES" w:eastAsia="es-ES"/>
              </w:rPr>
              <w:t>48.663.929</w:t>
            </w:r>
          </w:p>
        </w:tc>
        <w:tc>
          <w:tcPr>
            <w:tcW w:w="555" w:type="pct"/>
            <w:tcBorders>
              <w:top w:val="single" w:sz="4" w:space="0" w:color="auto"/>
            </w:tcBorders>
            <w:shd w:val="clear" w:color="auto" w:fill="8DB3E2"/>
            <w:vAlign w:val="center"/>
          </w:tcPr>
          <w:p w:rsidR="004A60A2" w:rsidRPr="00C33E41" w:rsidRDefault="004A60A2" w:rsidP="004A60A2">
            <w:pPr>
              <w:autoSpaceDE w:val="0"/>
              <w:autoSpaceDN w:val="0"/>
              <w:adjustRightInd w:val="0"/>
              <w:spacing w:after="0"/>
              <w:ind w:firstLine="0"/>
              <w:jc w:val="right"/>
              <w:rPr>
                <w:rFonts w:ascii="Arial" w:hAnsi="Arial" w:cs="Arial"/>
                <w:sz w:val="18"/>
                <w:szCs w:val="18"/>
                <w:lang w:val="es-ES" w:eastAsia="es-ES"/>
              </w:rPr>
            </w:pPr>
            <w:r w:rsidRPr="00C33E41">
              <w:rPr>
                <w:rFonts w:ascii="Arial" w:hAnsi="Arial" w:cs="Arial"/>
                <w:sz w:val="18"/>
                <w:szCs w:val="18"/>
                <w:lang w:val="es-ES" w:eastAsia="es-ES"/>
              </w:rPr>
              <w:t>1,00095</w:t>
            </w:r>
          </w:p>
        </w:tc>
        <w:tc>
          <w:tcPr>
            <w:tcW w:w="492" w:type="pct"/>
            <w:tcBorders>
              <w:top w:val="single" w:sz="4" w:space="0" w:color="auto"/>
            </w:tcBorders>
            <w:shd w:val="clear" w:color="auto" w:fill="8DB3E2"/>
            <w:vAlign w:val="center"/>
          </w:tcPr>
          <w:p w:rsidR="004A60A2" w:rsidRPr="00C33E41" w:rsidRDefault="004A60A2" w:rsidP="004A60A2">
            <w:pPr>
              <w:autoSpaceDE w:val="0"/>
              <w:autoSpaceDN w:val="0"/>
              <w:adjustRightInd w:val="0"/>
              <w:spacing w:after="0"/>
              <w:ind w:firstLine="0"/>
              <w:jc w:val="right"/>
              <w:rPr>
                <w:rFonts w:ascii="Arial" w:hAnsi="Arial" w:cs="Arial"/>
                <w:bCs/>
                <w:sz w:val="18"/>
                <w:szCs w:val="18"/>
                <w:lang w:val="es-ES" w:eastAsia="es-ES"/>
              </w:rPr>
            </w:pPr>
            <w:r w:rsidRPr="00C33E41">
              <w:rPr>
                <w:rFonts w:ascii="Arial" w:hAnsi="Arial" w:cs="Arial"/>
                <w:bCs/>
                <w:sz w:val="18"/>
                <w:szCs w:val="18"/>
                <w:lang w:val="es-ES" w:eastAsia="es-ES"/>
              </w:rPr>
              <w:t>-22,11%</w:t>
            </w:r>
          </w:p>
        </w:tc>
        <w:tc>
          <w:tcPr>
            <w:tcW w:w="288" w:type="pct"/>
            <w:tcBorders>
              <w:top w:val="single" w:sz="4" w:space="0" w:color="auto"/>
            </w:tcBorders>
            <w:shd w:val="clear" w:color="auto" w:fill="8DB3E2"/>
            <w:vAlign w:val="center"/>
          </w:tcPr>
          <w:p w:rsidR="004A60A2" w:rsidRPr="00C33E41" w:rsidRDefault="004A60A2" w:rsidP="004A60A2">
            <w:pPr>
              <w:autoSpaceDE w:val="0"/>
              <w:autoSpaceDN w:val="0"/>
              <w:adjustRightInd w:val="0"/>
              <w:spacing w:after="0"/>
              <w:ind w:firstLine="0"/>
              <w:jc w:val="right"/>
              <w:rPr>
                <w:rFonts w:ascii="Arial" w:hAnsi="Arial" w:cs="Arial"/>
                <w:bCs/>
                <w:sz w:val="18"/>
                <w:szCs w:val="18"/>
                <w:lang w:val="es-ES" w:eastAsia="es-ES"/>
              </w:rPr>
            </w:pPr>
            <w:r w:rsidRPr="00C33E41">
              <w:rPr>
                <w:rFonts w:ascii="Arial" w:hAnsi="Arial" w:cs="Arial"/>
                <w:bCs/>
                <w:sz w:val="18"/>
                <w:szCs w:val="18"/>
                <w:lang w:val="es-ES" w:eastAsia="es-ES"/>
              </w:rPr>
              <w:t>1,65</w:t>
            </w:r>
          </w:p>
        </w:tc>
        <w:tc>
          <w:tcPr>
            <w:tcW w:w="408" w:type="pct"/>
            <w:tcBorders>
              <w:top w:val="single" w:sz="4" w:space="0" w:color="auto"/>
            </w:tcBorders>
            <w:shd w:val="clear" w:color="auto" w:fill="8DB3E2"/>
            <w:vAlign w:val="center"/>
          </w:tcPr>
          <w:p w:rsidR="004A60A2" w:rsidRPr="00C33E41" w:rsidRDefault="004A60A2" w:rsidP="004A60A2">
            <w:pPr>
              <w:autoSpaceDE w:val="0"/>
              <w:autoSpaceDN w:val="0"/>
              <w:adjustRightInd w:val="0"/>
              <w:spacing w:after="0"/>
              <w:ind w:firstLine="0"/>
              <w:jc w:val="right"/>
              <w:rPr>
                <w:rFonts w:ascii="Arial" w:hAnsi="Arial" w:cs="Arial"/>
                <w:bCs/>
                <w:sz w:val="18"/>
                <w:szCs w:val="18"/>
                <w:lang w:val="es-ES" w:eastAsia="es-ES"/>
              </w:rPr>
            </w:pPr>
            <w:r w:rsidRPr="00C33E41">
              <w:rPr>
                <w:rFonts w:ascii="Arial" w:hAnsi="Arial" w:cs="Arial"/>
                <w:bCs/>
                <w:sz w:val="18"/>
                <w:szCs w:val="18"/>
                <w:lang w:val="es-ES" w:eastAsia="es-ES"/>
              </w:rPr>
              <w:t>-0,3648</w:t>
            </w:r>
          </w:p>
        </w:tc>
        <w:tc>
          <w:tcPr>
            <w:tcW w:w="634" w:type="pct"/>
            <w:tcBorders>
              <w:top w:val="single" w:sz="4" w:space="0" w:color="auto"/>
            </w:tcBorders>
            <w:shd w:val="clear" w:color="auto" w:fill="8DB3E2"/>
            <w:vAlign w:val="center"/>
          </w:tcPr>
          <w:p w:rsidR="004A60A2" w:rsidRPr="00C33E41" w:rsidRDefault="004A60A2" w:rsidP="004A60A2">
            <w:pPr>
              <w:autoSpaceDE w:val="0"/>
              <w:autoSpaceDN w:val="0"/>
              <w:adjustRightInd w:val="0"/>
              <w:spacing w:after="0"/>
              <w:ind w:firstLine="0"/>
              <w:jc w:val="right"/>
              <w:rPr>
                <w:rFonts w:ascii="Arial" w:hAnsi="Arial" w:cs="Arial"/>
                <w:sz w:val="18"/>
                <w:szCs w:val="18"/>
                <w:lang w:val="es-ES" w:eastAsia="es-ES"/>
              </w:rPr>
            </w:pPr>
            <w:r w:rsidRPr="00C33E41">
              <w:rPr>
                <w:rFonts w:ascii="Arial" w:hAnsi="Arial" w:cs="Arial"/>
                <w:sz w:val="18"/>
                <w:szCs w:val="18"/>
                <w:lang w:val="es-ES" w:eastAsia="es-ES"/>
              </w:rPr>
              <w:t>31.024.729</w:t>
            </w:r>
          </w:p>
        </w:tc>
        <w:tc>
          <w:tcPr>
            <w:tcW w:w="237" w:type="pct"/>
            <w:tcBorders>
              <w:top w:val="single" w:sz="4" w:space="0" w:color="auto"/>
            </w:tcBorders>
            <w:shd w:val="clear" w:color="auto" w:fill="8DB3E2"/>
            <w:vAlign w:val="center"/>
          </w:tcPr>
          <w:p w:rsidR="004A60A2" w:rsidRPr="00C33E41" w:rsidRDefault="004A60A2" w:rsidP="004A60A2">
            <w:pPr>
              <w:autoSpaceDE w:val="0"/>
              <w:autoSpaceDN w:val="0"/>
              <w:adjustRightInd w:val="0"/>
              <w:spacing w:after="0"/>
              <w:ind w:firstLine="0"/>
              <w:jc w:val="right"/>
              <w:rPr>
                <w:rFonts w:ascii="Arial" w:hAnsi="Arial" w:cs="Arial"/>
                <w:sz w:val="18"/>
                <w:szCs w:val="18"/>
                <w:lang w:val="es-ES" w:eastAsia="es-ES"/>
              </w:rPr>
            </w:pPr>
            <w:r w:rsidRPr="00C33E41">
              <w:rPr>
                <w:rFonts w:ascii="Arial" w:hAnsi="Arial" w:cs="Arial"/>
                <w:sz w:val="18"/>
                <w:szCs w:val="18"/>
                <w:lang w:val="es-ES" w:eastAsia="es-ES"/>
              </w:rPr>
              <w:t>1</w:t>
            </w:r>
          </w:p>
        </w:tc>
        <w:tc>
          <w:tcPr>
            <w:tcW w:w="441" w:type="pct"/>
            <w:tcBorders>
              <w:top w:val="single" w:sz="4" w:space="0" w:color="auto"/>
            </w:tcBorders>
            <w:shd w:val="clear" w:color="auto" w:fill="8DB3E2"/>
            <w:vAlign w:val="center"/>
          </w:tcPr>
          <w:p w:rsidR="004A60A2" w:rsidRPr="00C33E41" w:rsidRDefault="004A60A2" w:rsidP="004A60A2">
            <w:pPr>
              <w:autoSpaceDE w:val="0"/>
              <w:autoSpaceDN w:val="0"/>
              <w:adjustRightInd w:val="0"/>
              <w:spacing w:after="0"/>
              <w:ind w:firstLine="0"/>
              <w:jc w:val="right"/>
              <w:rPr>
                <w:rFonts w:ascii="Arial" w:hAnsi="Arial" w:cs="Arial"/>
                <w:bCs/>
                <w:sz w:val="18"/>
                <w:szCs w:val="18"/>
                <w:lang w:val="es-ES" w:eastAsia="es-ES"/>
              </w:rPr>
            </w:pPr>
            <w:r w:rsidRPr="00C33E41">
              <w:rPr>
                <w:rFonts w:ascii="Arial" w:hAnsi="Arial" w:cs="Arial"/>
                <w:bCs/>
                <w:sz w:val="18"/>
                <w:szCs w:val="18"/>
                <w:lang w:val="es-ES" w:eastAsia="es-ES"/>
              </w:rPr>
              <w:t>-22,11%</w:t>
            </w:r>
          </w:p>
        </w:tc>
        <w:tc>
          <w:tcPr>
            <w:tcW w:w="713" w:type="pct"/>
            <w:tcBorders>
              <w:top w:val="single" w:sz="4" w:space="0" w:color="auto"/>
            </w:tcBorders>
            <w:shd w:val="clear" w:color="auto" w:fill="8DB3E2"/>
            <w:vAlign w:val="center"/>
          </w:tcPr>
          <w:p w:rsidR="004A60A2" w:rsidRPr="00C33E41" w:rsidRDefault="004A60A2" w:rsidP="004A60A2">
            <w:pPr>
              <w:autoSpaceDE w:val="0"/>
              <w:autoSpaceDN w:val="0"/>
              <w:adjustRightInd w:val="0"/>
              <w:spacing w:after="0"/>
              <w:ind w:firstLine="0"/>
              <w:jc w:val="right"/>
              <w:rPr>
                <w:rFonts w:ascii="Arial" w:hAnsi="Arial" w:cs="Arial"/>
                <w:sz w:val="18"/>
                <w:szCs w:val="18"/>
                <w:lang w:val="es-ES" w:eastAsia="es-ES"/>
              </w:rPr>
            </w:pPr>
            <w:r w:rsidRPr="00C33E41">
              <w:rPr>
                <w:rFonts w:ascii="Arial" w:hAnsi="Arial" w:cs="Arial"/>
                <w:sz w:val="18"/>
                <w:szCs w:val="18"/>
                <w:lang w:val="es-ES" w:eastAsia="es-ES"/>
              </w:rPr>
              <w:t>38.044.289</w:t>
            </w:r>
          </w:p>
        </w:tc>
      </w:tr>
    </w:tbl>
    <w:p w:rsidR="00600E5F" w:rsidRDefault="00202542" w:rsidP="00E5443F">
      <w:pPr>
        <w:pStyle w:val="texto"/>
        <w:spacing w:before="240" w:after="120"/>
      </w:pPr>
      <w:r>
        <w:t>Como se observa, la recaudación teórica de 2020 considerando el valor 1 p</w:t>
      </w:r>
      <w:r>
        <w:t>a</w:t>
      </w:r>
      <w:r>
        <w:t>ra el coeficiente C asciende a 38,04 millones, mientras que</w:t>
      </w:r>
      <w:r w:rsidR="002F2BC3">
        <w:t>,</w:t>
      </w:r>
      <w:r>
        <w:t xml:space="preserve"> si C toma el valor de 1,65</w:t>
      </w:r>
      <w:r w:rsidR="002F2BC3">
        <w:t>,</w:t>
      </w:r>
      <w:r>
        <w:t xml:space="preserve"> este importe desciende a 31,02 millones. </w:t>
      </w:r>
    </w:p>
    <w:p w:rsidR="00294F01" w:rsidRDefault="00294F01" w:rsidP="00294F01">
      <w:pPr>
        <w:pStyle w:val="texto"/>
        <w:spacing w:after="120"/>
      </w:pPr>
      <w:r>
        <w:t>Dadas estas diferencias tan significativas, si bien los datos y cálculos de la factura de noviembre de 2020 son correctos, la interpretación del contrato re</w:t>
      </w:r>
      <w:r>
        <w:t>a</w:t>
      </w:r>
      <w:r>
        <w:t>lizada utilizando el valor 1 para el coeficiente C de la fórmula, tiene efectos en los años siguientes hasta que finalice la concesión en 2029.</w:t>
      </w:r>
    </w:p>
    <w:p w:rsidR="00EC5ABF" w:rsidRDefault="00294F01" w:rsidP="00294F01">
      <w:pPr>
        <w:pStyle w:val="texto"/>
        <w:spacing w:after="120"/>
      </w:pPr>
      <w:r>
        <w:t>A partir de los datos de recaudación teórica de 2020 del cuadro anterior o</w:t>
      </w:r>
      <w:r>
        <w:t>b</w:t>
      </w:r>
      <w:r>
        <w:t xml:space="preserve">tenidos bajo el supuesto de que C tome el valor 1 </w:t>
      </w:r>
      <w:proofErr w:type="spellStart"/>
      <w:r>
        <w:t>ó</w:t>
      </w:r>
      <w:proofErr w:type="spellEnd"/>
      <w:r>
        <w:t xml:space="preserve"> 1,65, hemos estimado los efectos que tendría cada cifra en </w:t>
      </w:r>
      <w:r w:rsidR="00EC5ABF">
        <w:t xml:space="preserve">la compensación que la ACFN realizaría a </w:t>
      </w:r>
      <w:proofErr w:type="spellStart"/>
      <w:r w:rsidR="00EC5ABF">
        <w:t>Audenasa</w:t>
      </w:r>
      <w:proofErr w:type="spellEnd"/>
      <w:r w:rsidR="00EC5ABF">
        <w:t xml:space="preserve"> y en los indicadores económico-financieros de la misma, en el s</w:t>
      </w:r>
      <w:r w:rsidR="00EC5ABF">
        <w:t>u</w:t>
      </w:r>
      <w:r w:rsidR="00EC5ABF">
        <w:t xml:space="preserve">puesto </w:t>
      </w:r>
      <w:r>
        <w:t>de que se cumplieran las previsiones del último PEF actualizado con los datos de 2020</w:t>
      </w:r>
      <w:r w:rsidR="00EC5ABF">
        <w:t>.</w:t>
      </w:r>
    </w:p>
    <w:p w:rsidR="002F2BC3" w:rsidRDefault="002F2BC3">
      <w:pPr>
        <w:spacing w:after="0"/>
        <w:ind w:firstLine="0"/>
        <w:jc w:val="left"/>
        <w:rPr>
          <w:spacing w:val="6"/>
          <w:sz w:val="26"/>
          <w:szCs w:val="24"/>
        </w:rPr>
      </w:pPr>
      <w:r>
        <w:br w:type="page"/>
      </w:r>
    </w:p>
    <w:p w:rsidR="00485E70" w:rsidRDefault="00485E70" w:rsidP="002F2BC3">
      <w:pPr>
        <w:pStyle w:val="texto"/>
        <w:spacing w:after="240"/>
      </w:pPr>
      <w:r>
        <w:lastRenderedPageBreak/>
        <w:t xml:space="preserve">A </w:t>
      </w:r>
      <w:r w:rsidR="002F2BC3">
        <w:t>continuación,</w:t>
      </w:r>
      <w:r>
        <w:t xml:space="preserve"> mostramos el efecto en la compensación que la ACFN te</w:t>
      </w:r>
      <w:r>
        <w:t>n</w:t>
      </w:r>
      <w:r>
        <w:t>dr</w:t>
      </w:r>
      <w:r w:rsidR="002F2BC3">
        <w:t>ía</w:t>
      </w:r>
      <w:r>
        <w:t xml:space="preserve"> que realizar a </w:t>
      </w:r>
      <w:proofErr w:type="spellStart"/>
      <w:r>
        <w:t>Audenasa</w:t>
      </w:r>
      <w:proofErr w:type="spellEnd"/>
      <w:r>
        <w:t xml:space="preserve"> por los descuentos en el periodo 202</w:t>
      </w:r>
      <w:r w:rsidR="0072452C">
        <w:t>0</w:t>
      </w:r>
      <w:r>
        <w:t>-2029</w:t>
      </w:r>
      <w:r w:rsidR="0072452C">
        <w:t>,</w:t>
      </w:r>
      <w:r>
        <w:t xml:space="preserve"> </w:t>
      </w:r>
      <w:r w:rsidR="00E16110">
        <w:t>co</w:t>
      </w:r>
      <w:r w:rsidR="00E16110">
        <w:t>n</w:t>
      </w:r>
      <w:r w:rsidR="00E16110">
        <w:t>siderando las cifras de recaudación teórica anteriores,</w:t>
      </w:r>
      <w:r>
        <w:t xml:space="preserve"> los datos previstos según el último PEF actualizado </w:t>
      </w:r>
      <w:r w:rsidR="0072452C">
        <w:t xml:space="preserve">para </w:t>
      </w:r>
      <w:r>
        <w:t>2020</w:t>
      </w:r>
      <w:r w:rsidR="0072452C">
        <w:t xml:space="preserve"> (C igual a 1) y</w:t>
      </w:r>
      <w:r w:rsidR="002F2BC3">
        <w:t xml:space="preserve"> el que hubiera resultado de aplicar el valor 1,65</w:t>
      </w:r>
      <w:r w:rsidR="00E16110">
        <w:t xml:space="preserve"> al coeficiente C</w:t>
      </w:r>
      <w:r>
        <w:t>:</w:t>
      </w:r>
    </w:p>
    <w:tbl>
      <w:tblPr>
        <w:tblW w:w="5000" w:type="pct"/>
        <w:tblBorders>
          <w:top w:val="single" w:sz="4" w:space="0" w:color="auto"/>
          <w:bottom w:val="single" w:sz="4" w:space="0" w:color="auto"/>
          <w:insideH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2426"/>
        <w:gridCol w:w="1984"/>
        <w:gridCol w:w="2205"/>
        <w:gridCol w:w="2314"/>
      </w:tblGrid>
      <w:tr w:rsidR="004A60A2" w:rsidRPr="00C33E41" w:rsidTr="002E6C2D">
        <w:trPr>
          <w:trHeight w:val="255"/>
        </w:trPr>
        <w:tc>
          <w:tcPr>
            <w:tcW w:w="1100" w:type="pct"/>
            <w:vMerge w:val="restart"/>
            <w:shd w:val="clear" w:color="auto" w:fill="8DB3E2"/>
            <w:vAlign w:val="center"/>
          </w:tcPr>
          <w:p w:rsidR="004A60A2" w:rsidRPr="00C33E41" w:rsidRDefault="004A60A2" w:rsidP="00C33E41">
            <w:pPr>
              <w:spacing w:after="0"/>
              <w:ind w:firstLine="0"/>
              <w:jc w:val="left"/>
              <w:rPr>
                <w:rFonts w:ascii="Arial" w:hAnsi="Arial" w:cs="Arial"/>
                <w:bCs/>
                <w:sz w:val="18"/>
                <w:szCs w:val="18"/>
                <w:lang w:val="es-ES" w:eastAsia="es-ES"/>
              </w:rPr>
            </w:pPr>
            <w:r w:rsidRPr="00C33E41">
              <w:rPr>
                <w:rFonts w:ascii="Arial" w:hAnsi="Arial" w:cs="Arial"/>
                <w:bCs/>
                <w:sz w:val="18"/>
                <w:szCs w:val="18"/>
                <w:lang w:val="es-ES" w:eastAsia="es-ES"/>
              </w:rPr>
              <w:t>Año</w:t>
            </w:r>
          </w:p>
        </w:tc>
        <w:tc>
          <w:tcPr>
            <w:tcW w:w="900" w:type="pct"/>
            <w:gridSpan w:val="2"/>
            <w:shd w:val="clear" w:color="auto" w:fill="8DB3E2"/>
            <w:vAlign w:val="center"/>
          </w:tcPr>
          <w:p w:rsidR="004A60A2" w:rsidRPr="00C33E41" w:rsidRDefault="004A60A2" w:rsidP="00C33E41">
            <w:pPr>
              <w:spacing w:after="0"/>
              <w:ind w:firstLine="0"/>
              <w:jc w:val="center"/>
              <w:rPr>
                <w:rFonts w:ascii="Arial" w:hAnsi="Arial" w:cs="Arial"/>
                <w:bCs/>
                <w:sz w:val="18"/>
                <w:szCs w:val="18"/>
              </w:rPr>
            </w:pPr>
            <w:r w:rsidRPr="00C33E41">
              <w:rPr>
                <w:rFonts w:ascii="Arial" w:hAnsi="Arial" w:cs="Arial"/>
                <w:bCs/>
                <w:sz w:val="18"/>
                <w:szCs w:val="18"/>
              </w:rPr>
              <w:t>Compensación ACFN</w:t>
            </w:r>
          </w:p>
        </w:tc>
        <w:tc>
          <w:tcPr>
            <w:tcW w:w="1050" w:type="pct"/>
            <w:vMerge w:val="restart"/>
            <w:shd w:val="clear" w:color="auto" w:fill="8DB3E2"/>
            <w:vAlign w:val="center"/>
          </w:tcPr>
          <w:p w:rsidR="004A60A2" w:rsidRPr="00C33E41" w:rsidRDefault="004A60A2" w:rsidP="00C33E41">
            <w:pPr>
              <w:spacing w:after="0"/>
              <w:jc w:val="right"/>
              <w:rPr>
                <w:rFonts w:ascii="Arial" w:hAnsi="Arial" w:cs="Arial"/>
                <w:bCs/>
                <w:sz w:val="18"/>
                <w:szCs w:val="18"/>
              </w:rPr>
            </w:pPr>
            <w:r w:rsidRPr="00C33E41">
              <w:rPr>
                <w:rFonts w:ascii="Arial" w:hAnsi="Arial" w:cs="Arial"/>
                <w:bCs/>
                <w:sz w:val="18"/>
                <w:szCs w:val="18"/>
              </w:rPr>
              <w:t xml:space="preserve">Diferencia en </w:t>
            </w:r>
          </w:p>
          <w:p w:rsidR="004A60A2" w:rsidRPr="00C33E41" w:rsidRDefault="004A60A2" w:rsidP="00C33E41">
            <w:pPr>
              <w:spacing w:after="0"/>
              <w:jc w:val="right"/>
              <w:rPr>
                <w:rFonts w:ascii="Arial" w:hAnsi="Arial" w:cs="Arial"/>
                <w:bCs/>
                <w:sz w:val="18"/>
                <w:szCs w:val="18"/>
              </w:rPr>
            </w:pPr>
            <w:r w:rsidRPr="00C33E41">
              <w:rPr>
                <w:rFonts w:ascii="Arial" w:hAnsi="Arial" w:cs="Arial"/>
                <w:bCs/>
                <w:sz w:val="18"/>
                <w:szCs w:val="18"/>
              </w:rPr>
              <w:t>compensaciones</w:t>
            </w:r>
          </w:p>
        </w:tc>
      </w:tr>
      <w:tr w:rsidR="00C33E41" w:rsidRPr="004A60A2" w:rsidTr="002E6C2D">
        <w:trPr>
          <w:trHeight w:val="255"/>
        </w:trPr>
        <w:tc>
          <w:tcPr>
            <w:tcW w:w="1100" w:type="pct"/>
            <w:vMerge/>
            <w:tcBorders>
              <w:bottom w:val="single" w:sz="4" w:space="0" w:color="auto"/>
            </w:tcBorders>
            <w:shd w:val="clear" w:color="auto" w:fill="8DB3E2"/>
            <w:vAlign w:val="center"/>
            <w:hideMark/>
          </w:tcPr>
          <w:p w:rsidR="004A60A2" w:rsidRPr="00C33E41" w:rsidRDefault="004A60A2" w:rsidP="004A60A2">
            <w:pPr>
              <w:spacing w:after="0"/>
              <w:ind w:firstLine="0"/>
              <w:rPr>
                <w:rFonts w:ascii="Arial" w:hAnsi="Arial" w:cs="Arial"/>
                <w:bCs/>
                <w:sz w:val="18"/>
                <w:szCs w:val="18"/>
                <w:lang w:val="es-ES" w:eastAsia="es-ES"/>
              </w:rPr>
            </w:pPr>
          </w:p>
        </w:tc>
        <w:tc>
          <w:tcPr>
            <w:tcW w:w="900" w:type="pct"/>
            <w:tcBorders>
              <w:bottom w:val="single" w:sz="4" w:space="0" w:color="auto"/>
            </w:tcBorders>
            <w:shd w:val="clear" w:color="auto" w:fill="8DB3E2"/>
            <w:vAlign w:val="center"/>
          </w:tcPr>
          <w:p w:rsidR="004A60A2" w:rsidRPr="00C33E41" w:rsidRDefault="004A60A2" w:rsidP="004A60A2">
            <w:pPr>
              <w:spacing w:after="0"/>
              <w:ind w:firstLine="0"/>
              <w:jc w:val="right"/>
              <w:rPr>
                <w:rFonts w:ascii="Arial" w:hAnsi="Arial" w:cs="Arial"/>
                <w:bCs/>
                <w:sz w:val="18"/>
                <w:szCs w:val="18"/>
                <w:lang w:val="es-ES" w:eastAsia="es-ES"/>
              </w:rPr>
            </w:pPr>
            <w:r w:rsidRPr="00C33E41">
              <w:rPr>
                <w:rFonts w:ascii="Arial" w:hAnsi="Arial" w:cs="Arial"/>
                <w:bCs/>
                <w:sz w:val="18"/>
                <w:szCs w:val="18"/>
              </w:rPr>
              <w:t>C = 1 en 2020</w:t>
            </w:r>
          </w:p>
        </w:tc>
        <w:tc>
          <w:tcPr>
            <w:tcW w:w="1000" w:type="pct"/>
            <w:tcBorders>
              <w:bottom w:val="single" w:sz="4" w:space="0" w:color="auto"/>
            </w:tcBorders>
            <w:shd w:val="clear" w:color="auto" w:fill="8DB3E2"/>
            <w:vAlign w:val="center"/>
          </w:tcPr>
          <w:p w:rsidR="004A60A2" w:rsidRPr="00C33E41" w:rsidRDefault="004A60A2" w:rsidP="004A60A2">
            <w:pPr>
              <w:spacing w:after="0"/>
              <w:ind w:firstLine="0"/>
              <w:jc w:val="right"/>
              <w:rPr>
                <w:rFonts w:ascii="Arial" w:hAnsi="Arial" w:cs="Arial"/>
                <w:bCs/>
                <w:sz w:val="18"/>
                <w:szCs w:val="18"/>
                <w:lang w:val="es-ES" w:eastAsia="es-ES"/>
              </w:rPr>
            </w:pPr>
            <w:r w:rsidRPr="00C33E41">
              <w:rPr>
                <w:rFonts w:ascii="Arial" w:hAnsi="Arial" w:cs="Arial"/>
                <w:bCs/>
                <w:sz w:val="18"/>
                <w:szCs w:val="18"/>
              </w:rPr>
              <w:t>C = 1,65 en 2020</w:t>
            </w:r>
          </w:p>
        </w:tc>
        <w:tc>
          <w:tcPr>
            <w:tcW w:w="1050" w:type="pct"/>
            <w:vMerge/>
            <w:tcBorders>
              <w:bottom w:val="single" w:sz="4" w:space="0" w:color="auto"/>
            </w:tcBorders>
            <w:shd w:val="clear" w:color="auto" w:fill="8DB3E2"/>
            <w:vAlign w:val="center"/>
          </w:tcPr>
          <w:p w:rsidR="004A60A2" w:rsidRPr="00C33E41" w:rsidRDefault="004A60A2" w:rsidP="004A60A2">
            <w:pPr>
              <w:spacing w:after="0"/>
              <w:ind w:firstLine="0"/>
              <w:jc w:val="right"/>
              <w:rPr>
                <w:rFonts w:ascii="Arial" w:hAnsi="Arial" w:cs="Arial"/>
                <w:bCs/>
                <w:sz w:val="18"/>
                <w:szCs w:val="18"/>
                <w:lang w:val="es-ES" w:eastAsia="es-ES"/>
              </w:rPr>
            </w:pPr>
          </w:p>
        </w:tc>
      </w:tr>
      <w:tr w:rsidR="00C33E41" w:rsidRPr="00C33E41" w:rsidTr="002E6C2D">
        <w:trPr>
          <w:trHeight w:val="198"/>
        </w:trPr>
        <w:tc>
          <w:tcPr>
            <w:tcW w:w="1100" w:type="pct"/>
            <w:tcBorders>
              <w:top w:val="single" w:sz="4" w:space="0" w:color="auto"/>
              <w:bottom w:val="single" w:sz="2" w:space="0" w:color="auto"/>
            </w:tcBorders>
            <w:shd w:val="clear" w:color="auto" w:fill="FFFFFF" w:themeFill="background1"/>
            <w:noWrap/>
            <w:vAlign w:val="center"/>
          </w:tcPr>
          <w:p w:rsidR="0072452C" w:rsidRPr="00C33E41" w:rsidRDefault="0072452C" w:rsidP="00C33E41">
            <w:pPr>
              <w:spacing w:after="0"/>
              <w:ind w:firstLine="0"/>
              <w:jc w:val="left"/>
              <w:rPr>
                <w:rFonts w:ascii="Arial Narrow" w:hAnsi="Arial Narrow" w:cs="Calibri"/>
                <w:bCs/>
                <w:lang w:val="es-ES" w:eastAsia="es-ES"/>
              </w:rPr>
            </w:pPr>
            <w:r w:rsidRPr="00C33E41">
              <w:rPr>
                <w:rFonts w:ascii="Arial Narrow" w:hAnsi="Arial Narrow" w:cs="Calibri"/>
                <w:bCs/>
                <w:lang w:val="es-ES" w:eastAsia="es-ES"/>
              </w:rPr>
              <w:t>2020</w:t>
            </w:r>
          </w:p>
        </w:tc>
        <w:tc>
          <w:tcPr>
            <w:tcW w:w="900" w:type="pct"/>
            <w:tcBorders>
              <w:top w:val="single" w:sz="4" w:space="0" w:color="auto"/>
              <w:bottom w:val="single" w:sz="2" w:space="0" w:color="auto"/>
            </w:tcBorders>
            <w:shd w:val="clear" w:color="auto" w:fill="FFFFFF" w:themeFill="background1"/>
            <w:vAlign w:val="center"/>
          </w:tcPr>
          <w:p w:rsidR="0072452C" w:rsidRPr="00C33E41" w:rsidRDefault="0072452C" w:rsidP="00C33E41">
            <w:pPr>
              <w:spacing w:after="0"/>
              <w:ind w:firstLine="0"/>
              <w:jc w:val="right"/>
              <w:rPr>
                <w:rFonts w:ascii="Arial Narrow" w:hAnsi="Arial Narrow" w:cs="Calibri"/>
                <w:bCs/>
              </w:rPr>
            </w:pPr>
            <w:r w:rsidRPr="00C33E41">
              <w:rPr>
                <w:rFonts w:ascii="Arial Narrow" w:hAnsi="Arial Narrow" w:cs="Calibri"/>
                <w:bCs/>
              </w:rPr>
              <w:t>14.</w:t>
            </w:r>
            <w:r w:rsidR="002A2EFF" w:rsidRPr="00C33E41">
              <w:rPr>
                <w:rFonts w:ascii="Arial Narrow" w:hAnsi="Arial Narrow" w:cs="Calibri"/>
                <w:bCs/>
              </w:rPr>
              <w:t>532.289</w:t>
            </w:r>
          </w:p>
        </w:tc>
        <w:tc>
          <w:tcPr>
            <w:tcW w:w="1000" w:type="pct"/>
            <w:tcBorders>
              <w:top w:val="single" w:sz="4" w:space="0" w:color="auto"/>
              <w:bottom w:val="single" w:sz="2" w:space="0" w:color="auto"/>
            </w:tcBorders>
            <w:shd w:val="clear" w:color="auto" w:fill="FFFFFF" w:themeFill="background1"/>
            <w:vAlign w:val="center"/>
          </w:tcPr>
          <w:p w:rsidR="0072452C" w:rsidRPr="00C33E41" w:rsidRDefault="002A2EFF" w:rsidP="00C33E41">
            <w:pPr>
              <w:spacing w:after="0"/>
              <w:ind w:firstLine="0"/>
              <w:jc w:val="right"/>
              <w:rPr>
                <w:rFonts w:ascii="Arial Narrow" w:hAnsi="Arial Narrow" w:cs="Calibri"/>
                <w:bCs/>
              </w:rPr>
            </w:pPr>
            <w:r w:rsidRPr="00C33E41">
              <w:rPr>
                <w:rFonts w:ascii="Arial Narrow" w:hAnsi="Arial Narrow" w:cs="Calibri"/>
                <w:bCs/>
              </w:rPr>
              <w:t>7.512.729</w:t>
            </w:r>
          </w:p>
        </w:tc>
        <w:tc>
          <w:tcPr>
            <w:tcW w:w="1050" w:type="pct"/>
            <w:tcBorders>
              <w:top w:val="single" w:sz="4" w:space="0" w:color="auto"/>
              <w:bottom w:val="single" w:sz="2" w:space="0" w:color="auto"/>
            </w:tcBorders>
            <w:shd w:val="clear" w:color="auto" w:fill="FFFFFF" w:themeFill="background1"/>
            <w:vAlign w:val="center"/>
          </w:tcPr>
          <w:p w:rsidR="0072452C" w:rsidRPr="00C33E41" w:rsidRDefault="002A2EFF" w:rsidP="00C33E41">
            <w:pPr>
              <w:spacing w:after="0"/>
              <w:ind w:firstLine="0"/>
              <w:jc w:val="right"/>
              <w:rPr>
                <w:rFonts w:ascii="Arial Narrow" w:hAnsi="Arial Narrow" w:cs="Arial"/>
              </w:rPr>
            </w:pPr>
            <w:r w:rsidRPr="00C33E41">
              <w:rPr>
                <w:rFonts w:ascii="Arial Narrow" w:hAnsi="Arial Narrow" w:cs="Arial"/>
              </w:rPr>
              <w:t>7.019.550</w:t>
            </w:r>
          </w:p>
        </w:tc>
      </w:tr>
      <w:tr w:rsidR="00C33E41" w:rsidRPr="00C33E41" w:rsidTr="002E6C2D">
        <w:trPr>
          <w:trHeight w:val="198"/>
        </w:trPr>
        <w:tc>
          <w:tcPr>
            <w:tcW w:w="1100" w:type="pct"/>
            <w:tcBorders>
              <w:top w:val="single" w:sz="2" w:space="0" w:color="auto"/>
              <w:bottom w:val="single" w:sz="2" w:space="0" w:color="auto"/>
            </w:tcBorders>
            <w:shd w:val="clear" w:color="auto" w:fill="FFFFFF" w:themeFill="background1"/>
            <w:noWrap/>
            <w:vAlign w:val="center"/>
            <w:hideMark/>
          </w:tcPr>
          <w:p w:rsidR="002F2BC3" w:rsidRPr="00C33E41" w:rsidRDefault="002F2BC3" w:rsidP="00C33E41">
            <w:pPr>
              <w:spacing w:after="0"/>
              <w:ind w:firstLine="0"/>
              <w:jc w:val="left"/>
              <w:rPr>
                <w:rFonts w:ascii="Arial Narrow" w:hAnsi="Arial Narrow" w:cs="Calibri"/>
                <w:bCs/>
                <w:lang w:val="es-ES" w:eastAsia="es-ES"/>
              </w:rPr>
            </w:pPr>
            <w:r w:rsidRPr="00C33E41">
              <w:rPr>
                <w:rFonts w:ascii="Arial Narrow" w:hAnsi="Arial Narrow" w:cs="Calibri"/>
                <w:bCs/>
                <w:lang w:val="es-ES" w:eastAsia="es-ES"/>
              </w:rPr>
              <w:t>2021</w:t>
            </w:r>
          </w:p>
        </w:tc>
        <w:tc>
          <w:tcPr>
            <w:tcW w:w="9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ind w:firstLine="0"/>
              <w:jc w:val="right"/>
              <w:rPr>
                <w:rFonts w:ascii="Arial Narrow" w:hAnsi="Arial Narrow" w:cs="Calibri"/>
                <w:bCs/>
                <w:lang w:val="es-ES" w:eastAsia="es-ES"/>
              </w:rPr>
            </w:pPr>
            <w:r w:rsidRPr="00C33E41">
              <w:rPr>
                <w:rFonts w:ascii="Arial Narrow" w:hAnsi="Arial Narrow" w:cs="Calibri"/>
                <w:bCs/>
              </w:rPr>
              <w:t>13.055.946</w:t>
            </w:r>
          </w:p>
        </w:tc>
        <w:tc>
          <w:tcPr>
            <w:tcW w:w="10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ind w:firstLine="0"/>
              <w:jc w:val="right"/>
              <w:rPr>
                <w:rFonts w:ascii="Arial Narrow" w:hAnsi="Arial Narrow" w:cs="Calibri"/>
                <w:bCs/>
                <w:lang w:val="es-ES" w:eastAsia="es-ES"/>
              </w:rPr>
            </w:pPr>
            <w:r w:rsidRPr="00C33E41">
              <w:rPr>
                <w:rFonts w:ascii="Arial Narrow" w:hAnsi="Arial Narrow" w:cs="Calibri"/>
                <w:bCs/>
              </w:rPr>
              <w:t>5.019.799</w:t>
            </w:r>
          </w:p>
        </w:tc>
        <w:tc>
          <w:tcPr>
            <w:tcW w:w="105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ind w:firstLine="0"/>
              <w:jc w:val="right"/>
              <w:rPr>
                <w:rFonts w:ascii="Arial Narrow" w:hAnsi="Arial Narrow" w:cs="Arial"/>
                <w:lang w:val="es-ES" w:eastAsia="es-ES"/>
              </w:rPr>
            </w:pPr>
            <w:r w:rsidRPr="00C33E41">
              <w:rPr>
                <w:rFonts w:ascii="Arial Narrow" w:hAnsi="Arial Narrow" w:cs="Arial"/>
              </w:rPr>
              <w:t>8.036.148</w:t>
            </w:r>
          </w:p>
        </w:tc>
      </w:tr>
      <w:tr w:rsidR="00C33E41" w:rsidRPr="00C33E41" w:rsidTr="002E6C2D">
        <w:trPr>
          <w:trHeight w:val="198"/>
        </w:trPr>
        <w:tc>
          <w:tcPr>
            <w:tcW w:w="1100" w:type="pct"/>
            <w:tcBorders>
              <w:top w:val="single" w:sz="2" w:space="0" w:color="auto"/>
              <w:bottom w:val="single" w:sz="2" w:space="0" w:color="auto"/>
            </w:tcBorders>
            <w:shd w:val="clear" w:color="auto" w:fill="FFFFFF" w:themeFill="background1"/>
            <w:noWrap/>
            <w:vAlign w:val="center"/>
            <w:hideMark/>
          </w:tcPr>
          <w:p w:rsidR="002F2BC3" w:rsidRPr="00C33E41" w:rsidRDefault="002F2BC3" w:rsidP="00C33E41">
            <w:pPr>
              <w:spacing w:after="0"/>
              <w:ind w:firstLine="0"/>
              <w:jc w:val="left"/>
              <w:rPr>
                <w:rFonts w:ascii="Arial Narrow" w:hAnsi="Arial Narrow" w:cs="Calibri"/>
                <w:bCs/>
                <w:lang w:val="es-ES" w:eastAsia="es-ES"/>
              </w:rPr>
            </w:pPr>
            <w:r w:rsidRPr="00C33E41">
              <w:rPr>
                <w:rFonts w:ascii="Arial Narrow" w:hAnsi="Arial Narrow" w:cs="Calibri"/>
                <w:bCs/>
                <w:lang w:val="es-ES" w:eastAsia="es-ES"/>
              </w:rPr>
              <w:t>2022</w:t>
            </w:r>
          </w:p>
        </w:tc>
        <w:tc>
          <w:tcPr>
            <w:tcW w:w="9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sidRPr="00C33E41">
              <w:rPr>
                <w:rFonts w:ascii="Arial Narrow" w:hAnsi="Arial Narrow" w:cs="Calibri"/>
                <w:bCs/>
                <w:color w:val="000000"/>
              </w:rPr>
              <w:t>14.063.685</w:t>
            </w:r>
          </w:p>
        </w:tc>
        <w:tc>
          <w:tcPr>
            <w:tcW w:w="10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sidRPr="00C33E41">
              <w:rPr>
                <w:rFonts w:ascii="Arial Narrow" w:hAnsi="Arial Narrow" w:cs="Calibri"/>
                <w:bCs/>
                <w:color w:val="000000"/>
              </w:rPr>
              <w:t>5.407.631</w:t>
            </w:r>
          </w:p>
        </w:tc>
        <w:tc>
          <w:tcPr>
            <w:tcW w:w="105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Arial"/>
              </w:rPr>
            </w:pPr>
            <w:r w:rsidRPr="00C33E41">
              <w:rPr>
                <w:rFonts w:ascii="Arial Narrow" w:hAnsi="Arial Narrow" w:cs="Arial"/>
              </w:rPr>
              <w:t>8.656.054</w:t>
            </w:r>
          </w:p>
        </w:tc>
      </w:tr>
      <w:tr w:rsidR="00C33E41" w:rsidRPr="00C33E41" w:rsidTr="002E6C2D">
        <w:trPr>
          <w:trHeight w:val="198"/>
        </w:trPr>
        <w:tc>
          <w:tcPr>
            <w:tcW w:w="1100" w:type="pct"/>
            <w:tcBorders>
              <w:top w:val="single" w:sz="2" w:space="0" w:color="auto"/>
              <w:bottom w:val="single" w:sz="2" w:space="0" w:color="auto"/>
            </w:tcBorders>
            <w:shd w:val="clear" w:color="auto" w:fill="FFFFFF" w:themeFill="background1"/>
            <w:noWrap/>
            <w:vAlign w:val="center"/>
            <w:hideMark/>
          </w:tcPr>
          <w:p w:rsidR="002F2BC3" w:rsidRPr="00C33E41" w:rsidRDefault="002F2BC3" w:rsidP="00C33E41">
            <w:pPr>
              <w:spacing w:after="0"/>
              <w:ind w:firstLine="0"/>
              <w:jc w:val="left"/>
              <w:rPr>
                <w:rFonts w:ascii="Arial Narrow" w:hAnsi="Arial Narrow" w:cs="Calibri"/>
                <w:bCs/>
                <w:lang w:val="es-ES" w:eastAsia="es-ES"/>
              </w:rPr>
            </w:pPr>
            <w:r w:rsidRPr="00C33E41">
              <w:rPr>
                <w:rFonts w:ascii="Arial Narrow" w:hAnsi="Arial Narrow" w:cs="Calibri"/>
                <w:bCs/>
                <w:lang w:val="es-ES" w:eastAsia="es-ES"/>
              </w:rPr>
              <w:t>2023</w:t>
            </w:r>
          </w:p>
        </w:tc>
        <w:tc>
          <w:tcPr>
            <w:tcW w:w="9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sidRPr="00C33E41">
              <w:rPr>
                <w:rFonts w:ascii="Arial Narrow" w:hAnsi="Arial Narrow" w:cs="Calibri"/>
                <w:bCs/>
                <w:color w:val="000000"/>
              </w:rPr>
              <w:t>14.922.003</w:t>
            </w:r>
          </w:p>
        </w:tc>
        <w:tc>
          <w:tcPr>
            <w:tcW w:w="10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sidRPr="00C33E41">
              <w:rPr>
                <w:rFonts w:ascii="Arial Narrow" w:hAnsi="Arial Narrow" w:cs="Calibri"/>
                <w:bCs/>
                <w:color w:val="000000"/>
              </w:rPr>
              <w:t>5.737.638</w:t>
            </w:r>
          </w:p>
        </w:tc>
        <w:tc>
          <w:tcPr>
            <w:tcW w:w="105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Arial"/>
              </w:rPr>
            </w:pPr>
            <w:r w:rsidRPr="00C33E41">
              <w:rPr>
                <w:rFonts w:ascii="Arial Narrow" w:hAnsi="Arial Narrow" w:cs="Arial"/>
              </w:rPr>
              <w:t>9.184.365</w:t>
            </w:r>
          </w:p>
        </w:tc>
      </w:tr>
      <w:tr w:rsidR="00C33E41" w:rsidRPr="00C33E41" w:rsidTr="002E6C2D">
        <w:trPr>
          <w:trHeight w:val="198"/>
        </w:trPr>
        <w:tc>
          <w:tcPr>
            <w:tcW w:w="1100" w:type="pct"/>
            <w:tcBorders>
              <w:top w:val="single" w:sz="2" w:space="0" w:color="auto"/>
              <w:bottom w:val="single" w:sz="2" w:space="0" w:color="auto"/>
            </w:tcBorders>
            <w:shd w:val="clear" w:color="auto" w:fill="FFFFFF" w:themeFill="background1"/>
            <w:noWrap/>
            <w:vAlign w:val="center"/>
            <w:hideMark/>
          </w:tcPr>
          <w:p w:rsidR="002F2BC3" w:rsidRPr="00C33E41" w:rsidRDefault="002F2BC3" w:rsidP="00C33E41">
            <w:pPr>
              <w:spacing w:after="0"/>
              <w:ind w:firstLine="0"/>
              <w:jc w:val="left"/>
              <w:rPr>
                <w:rFonts w:ascii="Arial Narrow" w:hAnsi="Arial Narrow" w:cs="Calibri"/>
                <w:bCs/>
                <w:lang w:val="es-ES" w:eastAsia="es-ES"/>
              </w:rPr>
            </w:pPr>
            <w:r w:rsidRPr="00C33E41">
              <w:rPr>
                <w:rFonts w:ascii="Arial Narrow" w:hAnsi="Arial Narrow" w:cs="Calibri"/>
                <w:bCs/>
                <w:lang w:val="es-ES" w:eastAsia="es-ES"/>
              </w:rPr>
              <w:t>2024</w:t>
            </w:r>
          </w:p>
        </w:tc>
        <w:tc>
          <w:tcPr>
            <w:tcW w:w="9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sidRPr="00C33E41">
              <w:rPr>
                <w:rFonts w:ascii="Arial Narrow" w:hAnsi="Arial Narrow" w:cs="Calibri"/>
                <w:bCs/>
                <w:color w:val="000000"/>
              </w:rPr>
              <w:t>15.851.170</w:t>
            </w:r>
          </w:p>
        </w:tc>
        <w:tc>
          <w:tcPr>
            <w:tcW w:w="10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sidRPr="00C33E41">
              <w:rPr>
                <w:rFonts w:ascii="Arial Narrow" w:hAnsi="Arial Narrow" w:cs="Calibri"/>
                <w:bCs/>
                <w:color w:val="000000"/>
              </w:rPr>
              <w:t>6.156.972</w:t>
            </w:r>
          </w:p>
        </w:tc>
        <w:tc>
          <w:tcPr>
            <w:tcW w:w="105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Arial"/>
              </w:rPr>
            </w:pPr>
            <w:r w:rsidRPr="00C33E41">
              <w:rPr>
                <w:rFonts w:ascii="Arial Narrow" w:hAnsi="Arial Narrow" w:cs="Arial"/>
              </w:rPr>
              <w:t>9.694.198</w:t>
            </w:r>
          </w:p>
        </w:tc>
      </w:tr>
      <w:tr w:rsidR="00C33E41" w:rsidRPr="00C33E41" w:rsidTr="002E6C2D">
        <w:trPr>
          <w:trHeight w:val="198"/>
        </w:trPr>
        <w:tc>
          <w:tcPr>
            <w:tcW w:w="1100" w:type="pct"/>
            <w:tcBorders>
              <w:top w:val="single" w:sz="2" w:space="0" w:color="auto"/>
              <w:bottom w:val="single" w:sz="2" w:space="0" w:color="auto"/>
            </w:tcBorders>
            <w:shd w:val="clear" w:color="auto" w:fill="FFFFFF" w:themeFill="background1"/>
            <w:noWrap/>
            <w:vAlign w:val="center"/>
            <w:hideMark/>
          </w:tcPr>
          <w:p w:rsidR="002F2BC3" w:rsidRPr="00C33E41" w:rsidRDefault="002F2BC3" w:rsidP="00C33E41">
            <w:pPr>
              <w:spacing w:after="0"/>
              <w:ind w:firstLine="0"/>
              <w:jc w:val="left"/>
              <w:rPr>
                <w:rFonts w:ascii="Arial Narrow" w:hAnsi="Arial Narrow" w:cs="Calibri"/>
                <w:bCs/>
                <w:lang w:val="es-ES" w:eastAsia="es-ES"/>
              </w:rPr>
            </w:pPr>
            <w:r w:rsidRPr="00C33E41">
              <w:rPr>
                <w:rFonts w:ascii="Arial Narrow" w:hAnsi="Arial Narrow" w:cs="Calibri"/>
                <w:bCs/>
                <w:lang w:val="es-ES" w:eastAsia="es-ES"/>
              </w:rPr>
              <w:t>2025</w:t>
            </w:r>
          </w:p>
        </w:tc>
        <w:tc>
          <w:tcPr>
            <w:tcW w:w="9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sidRPr="00C33E41">
              <w:rPr>
                <w:rFonts w:ascii="Arial Narrow" w:hAnsi="Arial Narrow" w:cs="Calibri"/>
                <w:bCs/>
                <w:color w:val="000000"/>
              </w:rPr>
              <w:t>16.534.094</w:t>
            </w:r>
          </w:p>
        </w:tc>
        <w:tc>
          <w:tcPr>
            <w:tcW w:w="10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sidRPr="00C33E41">
              <w:rPr>
                <w:rFonts w:ascii="Arial Narrow" w:hAnsi="Arial Narrow" w:cs="Calibri"/>
                <w:bCs/>
                <w:color w:val="000000"/>
              </w:rPr>
              <w:t>6.357.601</w:t>
            </w:r>
          </w:p>
        </w:tc>
        <w:tc>
          <w:tcPr>
            <w:tcW w:w="105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Arial"/>
              </w:rPr>
            </w:pPr>
            <w:r w:rsidRPr="00C33E41">
              <w:rPr>
                <w:rFonts w:ascii="Arial Narrow" w:hAnsi="Arial Narrow" w:cs="Arial"/>
              </w:rPr>
              <w:t>10.176.493</w:t>
            </w:r>
          </w:p>
        </w:tc>
      </w:tr>
      <w:tr w:rsidR="00C33E41" w:rsidRPr="00C33E41" w:rsidTr="002E6C2D">
        <w:trPr>
          <w:trHeight w:val="198"/>
        </w:trPr>
        <w:tc>
          <w:tcPr>
            <w:tcW w:w="1100" w:type="pct"/>
            <w:tcBorders>
              <w:top w:val="single" w:sz="2" w:space="0" w:color="auto"/>
              <w:bottom w:val="single" w:sz="2" w:space="0" w:color="auto"/>
            </w:tcBorders>
            <w:shd w:val="clear" w:color="auto" w:fill="FFFFFF" w:themeFill="background1"/>
            <w:noWrap/>
            <w:vAlign w:val="center"/>
            <w:hideMark/>
          </w:tcPr>
          <w:p w:rsidR="002F2BC3" w:rsidRPr="00C33E41" w:rsidRDefault="002F2BC3" w:rsidP="00C33E41">
            <w:pPr>
              <w:spacing w:after="0"/>
              <w:ind w:firstLine="0"/>
              <w:jc w:val="left"/>
              <w:rPr>
                <w:rFonts w:ascii="Arial Narrow" w:hAnsi="Arial Narrow" w:cs="Calibri"/>
                <w:bCs/>
                <w:lang w:val="es-ES" w:eastAsia="es-ES"/>
              </w:rPr>
            </w:pPr>
            <w:r w:rsidRPr="00C33E41">
              <w:rPr>
                <w:rFonts w:ascii="Arial Narrow" w:hAnsi="Arial Narrow" w:cs="Calibri"/>
                <w:bCs/>
                <w:lang w:val="es-ES" w:eastAsia="es-ES"/>
              </w:rPr>
              <w:t>2026</w:t>
            </w:r>
          </w:p>
        </w:tc>
        <w:tc>
          <w:tcPr>
            <w:tcW w:w="9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sidRPr="00C33E41">
              <w:rPr>
                <w:rFonts w:ascii="Arial Narrow" w:hAnsi="Arial Narrow" w:cs="Calibri"/>
                <w:bCs/>
                <w:color w:val="000000"/>
              </w:rPr>
              <w:t>17.403.688</w:t>
            </w:r>
          </w:p>
        </w:tc>
        <w:tc>
          <w:tcPr>
            <w:tcW w:w="10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sidRPr="00C33E41">
              <w:rPr>
                <w:rFonts w:ascii="Arial Narrow" w:hAnsi="Arial Narrow" w:cs="Calibri"/>
                <w:bCs/>
                <w:color w:val="000000"/>
              </w:rPr>
              <w:t>6.691.637</w:t>
            </w:r>
          </w:p>
        </w:tc>
        <w:tc>
          <w:tcPr>
            <w:tcW w:w="105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Arial"/>
              </w:rPr>
            </w:pPr>
            <w:r w:rsidRPr="00C33E41">
              <w:rPr>
                <w:rFonts w:ascii="Arial Narrow" w:hAnsi="Arial Narrow" w:cs="Arial"/>
              </w:rPr>
              <w:t>10.712.052</w:t>
            </w:r>
          </w:p>
        </w:tc>
      </w:tr>
      <w:tr w:rsidR="00C33E41" w:rsidRPr="00C33E41" w:rsidTr="002E6C2D">
        <w:trPr>
          <w:trHeight w:val="198"/>
        </w:trPr>
        <w:tc>
          <w:tcPr>
            <w:tcW w:w="1100" w:type="pct"/>
            <w:tcBorders>
              <w:top w:val="single" w:sz="2" w:space="0" w:color="auto"/>
              <w:bottom w:val="single" w:sz="2" w:space="0" w:color="auto"/>
            </w:tcBorders>
            <w:shd w:val="clear" w:color="auto" w:fill="FFFFFF" w:themeFill="background1"/>
            <w:noWrap/>
            <w:vAlign w:val="center"/>
            <w:hideMark/>
          </w:tcPr>
          <w:p w:rsidR="002F2BC3" w:rsidRPr="00C33E41" w:rsidRDefault="0072452C" w:rsidP="00C33E41">
            <w:pPr>
              <w:spacing w:after="0"/>
              <w:ind w:firstLine="0"/>
              <w:jc w:val="left"/>
              <w:rPr>
                <w:rFonts w:ascii="Arial Narrow" w:hAnsi="Arial Narrow" w:cs="Calibri"/>
                <w:bCs/>
                <w:lang w:val="es-ES" w:eastAsia="es-ES"/>
              </w:rPr>
            </w:pPr>
            <w:r w:rsidRPr="00C33E41">
              <w:rPr>
                <w:rFonts w:ascii="Arial Narrow" w:hAnsi="Arial Narrow" w:cs="Calibri"/>
                <w:bCs/>
                <w:lang w:val="es-ES" w:eastAsia="es-ES"/>
              </w:rPr>
              <w:t>2</w:t>
            </w:r>
            <w:r w:rsidR="002F2BC3" w:rsidRPr="00C33E41">
              <w:rPr>
                <w:rFonts w:ascii="Arial Narrow" w:hAnsi="Arial Narrow" w:cs="Calibri"/>
                <w:bCs/>
                <w:lang w:val="es-ES" w:eastAsia="es-ES"/>
              </w:rPr>
              <w:t>027</w:t>
            </w:r>
          </w:p>
        </w:tc>
        <w:tc>
          <w:tcPr>
            <w:tcW w:w="9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sidRPr="00C33E41">
              <w:rPr>
                <w:rFonts w:ascii="Arial Narrow" w:hAnsi="Arial Narrow" w:cs="Calibri"/>
                <w:bCs/>
                <w:color w:val="000000"/>
              </w:rPr>
              <w:t>18.320.038</w:t>
            </w:r>
          </w:p>
        </w:tc>
        <w:tc>
          <w:tcPr>
            <w:tcW w:w="10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sidRPr="00C33E41">
              <w:rPr>
                <w:rFonts w:ascii="Arial Narrow" w:hAnsi="Arial Narrow" w:cs="Calibri"/>
                <w:bCs/>
                <w:color w:val="000000"/>
              </w:rPr>
              <w:t>7.044.243</w:t>
            </w:r>
          </w:p>
        </w:tc>
        <w:tc>
          <w:tcPr>
            <w:tcW w:w="105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Arial"/>
              </w:rPr>
            </w:pPr>
            <w:r w:rsidRPr="00C33E41">
              <w:rPr>
                <w:rFonts w:ascii="Arial Narrow" w:hAnsi="Arial Narrow" w:cs="Arial"/>
              </w:rPr>
              <w:t>11.275.795</w:t>
            </w:r>
          </w:p>
        </w:tc>
      </w:tr>
      <w:tr w:rsidR="00C33E41" w:rsidRPr="00C33E41" w:rsidTr="002E6C2D">
        <w:trPr>
          <w:trHeight w:val="198"/>
        </w:trPr>
        <w:tc>
          <w:tcPr>
            <w:tcW w:w="1100" w:type="pct"/>
            <w:tcBorders>
              <w:top w:val="single" w:sz="2" w:space="0" w:color="auto"/>
              <w:bottom w:val="single" w:sz="2" w:space="0" w:color="auto"/>
            </w:tcBorders>
            <w:shd w:val="clear" w:color="auto" w:fill="FFFFFF" w:themeFill="background1"/>
            <w:noWrap/>
            <w:vAlign w:val="center"/>
            <w:hideMark/>
          </w:tcPr>
          <w:p w:rsidR="002F2BC3" w:rsidRPr="00C33E41" w:rsidRDefault="002F2BC3" w:rsidP="00C33E41">
            <w:pPr>
              <w:spacing w:after="0"/>
              <w:ind w:firstLine="0"/>
              <w:jc w:val="left"/>
              <w:rPr>
                <w:rFonts w:ascii="Arial Narrow" w:hAnsi="Arial Narrow" w:cs="Calibri"/>
                <w:bCs/>
                <w:lang w:val="es-ES" w:eastAsia="es-ES"/>
              </w:rPr>
            </w:pPr>
            <w:r w:rsidRPr="00C33E41">
              <w:rPr>
                <w:rFonts w:ascii="Arial Narrow" w:hAnsi="Arial Narrow" w:cs="Calibri"/>
                <w:bCs/>
                <w:lang w:val="es-ES" w:eastAsia="es-ES"/>
              </w:rPr>
              <w:t>2028</w:t>
            </w:r>
          </w:p>
        </w:tc>
        <w:tc>
          <w:tcPr>
            <w:tcW w:w="9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sidRPr="00C33E41">
              <w:rPr>
                <w:rFonts w:ascii="Arial Narrow" w:hAnsi="Arial Narrow" w:cs="Calibri"/>
                <w:bCs/>
                <w:color w:val="000000"/>
              </w:rPr>
              <w:t>19.460.423</w:t>
            </w:r>
          </w:p>
        </w:tc>
        <w:tc>
          <w:tcPr>
            <w:tcW w:w="100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sidRPr="00C33E41">
              <w:rPr>
                <w:rFonts w:ascii="Arial Narrow" w:hAnsi="Arial Narrow" w:cs="Calibri"/>
                <w:bCs/>
                <w:color w:val="000000"/>
              </w:rPr>
              <w:t>7.558.698</w:t>
            </w:r>
          </w:p>
        </w:tc>
        <w:tc>
          <w:tcPr>
            <w:tcW w:w="1050" w:type="pct"/>
            <w:tcBorders>
              <w:top w:val="single" w:sz="2" w:space="0" w:color="auto"/>
              <w:bottom w:val="single" w:sz="2" w:space="0" w:color="auto"/>
            </w:tcBorders>
            <w:shd w:val="clear" w:color="auto" w:fill="FFFFFF" w:themeFill="background1"/>
            <w:vAlign w:val="center"/>
          </w:tcPr>
          <w:p w:rsidR="002F2BC3" w:rsidRPr="00C33E41" w:rsidRDefault="002F2BC3" w:rsidP="00C33E41">
            <w:pPr>
              <w:spacing w:after="0"/>
              <w:jc w:val="right"/>
              <w:rPr>
                <w:rFonts w:ascii="Arial Narrow" w:hAnsi="Arial Narrow" w:cs="Arial"/>
              </w:rPr>
            </w:pPr>
            <w:r w:rsidRPr="00C33E41">
              <w:rPr>
                <w:rFonts w:ascii="Arial Narrow" w:hAnsi="Arial Narrow" w:cs="Arial"/>
              </w:rPr>
              <w:t>11.901.724</w:t>
            </w:r>
          </w:p>
        </w:tc>
      </w:tr>
      <w:tr w:rsidR="00C33E41" w:rsidRPr="00C33E41" w:rsidTr="002E6C2D">
        <w:trPr>
          <w:trHeight w:val="198"/>
        </w:trPr>
        <w:tc>
          <w:tcPr>
            <w:tcW w:w="1100" w:type="pct"/>
            <w:tcBorders>
              <w:top w:val="single" w:sz="2" w:space="0" w:color="auto"/>
              <w:bottom w:val="single" w:sz="4" w:space="0" w:color="auto"/>
            </w:tcBorders>
            <w:shd w:val="clear" w:color="auto" w:fill="FFFFFF" w:themeFill="background1"/>
            <w:noWrap/>
            <w:vAlign w:val="center"/>
            <w:hideMark/>
          </w:tcPr>
          <w:p w:rsidR="002F2BC3" w:rsidRPr="00C33E41" w:rsidRDefault="002F2BC3" w:rsidP="00C33E41">
            <w:pPr>
              <w:spacing w:after="0"/>
              <w:ind w:firstLine="0"/>
              <w:jc w:val="left"/>
              <w:rPr>
                <w:rFonts w:ascii="Arial Narrow" w:hAnsi="Arial Narrow" w:cs="Calibri"/>
                <w:bCs/>
                <w:lang w:val="es-ES" w:eastAsia="es-ES"/>
              </w:rPr>
            </w:pPr>
            <w:r w:rsidRPr="00C33E41">
              <w:rPr>
                <w:rFonts w:ascii="Arial Narrow" w:hAnsi="Arial Narrow" w:cs="Calibri"/>
                <w:bCs/>
                <w:lang w:val="es-ES" w:eastAsia="es-ES"/>
              </w:rPr>
              <w:t>2029</w:t>
            </w:r>
          </w:p>
        </w:tc>
        <w:tc>
          <w:tcPr>
            <w:tcW w:w="900" w:type="pct"/>
            <w:tcBorders>
              <w:top w:val="single" w:sz="2" w:space="0" w:color="auto"/>
              <w:bottom w:val="single" w:sz="4"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sidRPr="00C33E41">
              <w:rPr>
                <w:rFonts w:ascii="Arial Narrow" w:hAnsi="Arial Narrow" w:cs="Calibri"/>
                <w:bCs/>
                <w:color w:val="000000"/>
              </w:rPr>
              <w:t>10.149.790</w:t>
            </w:r>
          </w:p>
        </w:tc>
        <w:tc>
          <w:tcPr>
            <w:tcW w:w="1000" w:type="pct"/>
            <w:tcBorders>
              <w:top w:val="single" w:sz="2" w:space="0" w:color="auto"/>
              <w:bottom w:val="single" w:sz="4" w:space="0" w:color="auto"/>
            </w:tcBorders>
            <w:shd w:val="clear" w:color="auto" w:fill="FFFFFF" w:themeFill="background1"/>
            <w:vAlign w:val="center"/>
          </w:tcPr>
          <w:p w:rsidR="002F2BC3" w:rsidRPr="00C33E41" w:rsidRDefault="002F2BC3" w:rsidP="00C33E41">
            <w:pPr>
              <w:spacing w:after="0"/>
              <w:jc w:val="right"/>
              <w:rPr>
                <w:rFonts w:ascii="Arial Narrow" w:hAnsi="Arial Narrow" w:cs="Calibri"/>
                <w:bCs/>
                <w:color w:val="000000"/>
              </w:rPr>
            </w:pPr>
            <w:r w:rsidRPr="00C33E41">
              <w:rPr>
                <w:rFonts w:ascii="Arial Narrow" w:hAnsi="Arial Narrow" w:cs="Calibri"/>
                <w:bCs/>
                <w:color w:val="000000"/>
              </w:rPr>
              <w:t>3.902.867</w:t>
            </w:r>
          </w:p>
        </w:tc>
        <w:tc>
          <w:tcPr>
            <w:tcW w:w="1050" w:type="pct"/>
            <w:tcBorders>
              <w:top w:val="single" w:sz="2" w:space="0" w:color="auto"/>
              <w:bottom w:val="single" w:sz="4" w:space="0" w:color="auto"/>
            </w:tcBorders>
            <w:shd w:val="clear" w:color="auto" w:fill="FFFFFF" w:themeFill="background1"/>
            <w:vAlign w:val="center"/>
          </w:tcPr>
          <w:p w:rsidR="002F2BC3" w:rsidRPr="00C33E41" w:rsidRDefault="002F2BC3" w:rsidP="00C33E41">
            <w:pPr>
              <w:spacing w:after="0"/>
              <w:jc w:val="right"/>
              <w:rPr>
                <w:rFonts w:ascii="Arial Narrow" w:hAnsi="Arial Narrow" w:cs="Arial"/>
              </w:rPr>
            </w:pPr>
            <w:r w:rsidRPr="00C33E41">
              <w:rPr>
                <w:rFonts w:ascii="Arial Narrow" w:hAnsi="Arial Narrow" w:cs="Arial"/>
              </w:rPr>
              <w:t>6.246.923</w:t>
            </w:r>
          </w:p>
        </w:tc>
      </w:tr>
      <w:tr w:rsidR="002F2BC3" w:rsidRPr="004A60A2" w:rsidTr="002E6C2D">
        <w:trPr>
          <w:trHeight w:val="255"/>
        </w:trPr>
        <w:tc>
          <w:tcPr>
            <w:tcW w:w="1100" w:type="pct"/>
            <w:tcBorders>
              <w:top w:val="single" w:sz="4" w:space="0" w:color="auto"/>
            </w:tcBorders>
            <w:shd w:val="clear" w:color="auto" w:fill="8DB3E2"/>
            <w:noWrap/>
            <w:vAlign w:val="center"/>
          </w:tcPr>
          <w:p w:rsidR="002F2BC3" w:rsidRPr="00C33E41" w:rsidRDefault="004A60A2" w:rsidP="00C33E41">
            <w:pPr>
              <w:spacing w:after="0"/>
              <w:ind w:firstLine="0"/>
              <w:jc w:val="left"/>
              <w:rPr>
                <w:rFonts w:ascii="Arial" w:hAnsi="Arial" w:cs="Arial"/>
                <w:bCs/>
                <w:sz w:val="18"/>
                <w:szCs w:val="18"/>
                <w:lang w:val="es-ES" w:eastAsia="es-ES"/>
              </w:rPr>
            </w:pPr>
            <w:r w:rsidRPr="00C33E41">
              <w:rPr>
                <w:rFonts w:ascii="Arial" w:hAnsi="Arial" w:cs="Arial"/>
                <w:bCs/>
                <w:sz w:val="18"/>
                <w:szCs w:val="18"/>
                <w:lang w:val="es-ES" w:eastAsia="es-ES"/>
              </w:rPr>
              <w:t>Total 202</w:t>
            </w:r>
            <w:r w:rsidR="0072452C" w:rsidRPr="00C33E41">
              <w:rPr>
                <w:rFonts w:ascii="Arial" w:hAnsi="Arial" w:cs="Arial"/>
                <w:bCs/>
                <w:sz w:val="18"/>
                <w:szCs w:val="18"/>
                <w:lang w:val="es-ES" w:eastAsia="es-ES"/>
              </w:rPr>
              <w:t>0</w:t>
            </w:r>
            <w:r w:rsidRPr="00C33E41">
              <w:rPr>
                <w:rFonts w:ascii="Arial" w:hAnsi="Arial" w:cs="Arial"/>
                <w:bCs/>
                <w:sz w:val="18"/>
                <w:szCs w:val="18"/>
                <w:lang w:val="es-ES" w:eastAsia="es-ES"/>
              </w:rPr>
              <w:t>-2029</w:t>
            </w:r>
          </w:p>
        </w:tc>
        <w:tc>
          <w:tcPr>
            <w:tcW w:w="900" w:type="pct"/>
            <w:tcBorders>
              <w:top w:val="single" w:sz="4" w:space="0" w:color="auto"/>
            </w:tcBorders>
            <w:shd w:val="clear" w:color="auto" w:fill="8DB3E2"/>
            <w:vAlign w:val="center"/>
          </w:tcPr>
          <w:p w:rsidR="002F2BC3" w:rsidRPr="00C33E41" w:rsidRDefault="002A2EFF" w:rsidP="004A60A2">
            <w:pPr>
              <w:spacing w:after="0"/>
              <w:jc w:val="right"/>
              <w:rPr>
                <w:rFonts w:ascii="Arial" w:hAnsi="Arial" w:cs="Arial"/>
                <w:bCs/>
                <w:color w:val="000000"/>
                <w:sz w:val="18"/>
                <w:szCs w:val="18"/>
              </w:rPr>
            </w:pPr>
            <w:r w:rsidRPr="00C33E41">
              <w:rPr>
                <w:rFonts w:ascii="Arial" w:hAnsi="Arial" w:cs="Arial"/>
                <w:bCs/>
                <w:color w:val="000000"/>
                <w:sz w:val="18"/>
                <w:szCs w:val="18"/>
              </w:rPr>
              <w:t>154.293.116</w:t>
            </w:r>
          </w:p>
        </w:tc>
        <w:tc>
          <w:tcPr>
            <w:tcW w:w="1000" w:type="pct"/>
            <w:tcBorders>
              <w:top w:val="single" w:sz="4" w:space="0" w:color="auto"/>
            </w:tcBorders>
            <w:shd w:val="clear" w:color="auto" w:fill="8DB3E2"/>
            <w:vAlign w:val="center"/>
          </w:tcPr>
          <w:p w:rsidR="002F2BC3" w:rsidRPr="00C33E41" w:rsidRDefault="002A2EFF" w:rsidP="004A60A2">
            <w:pPr>
              <w:spacing w:after="0"/>
              <w:jc w:val="right"/>
              <w:rPr>
                <w:rFonts w:ascii="Arial" w:hAnsi="Arial" w:cs="Arial"/>
                <w:bCs/>
                <w:color w:val="000000"/>
                <w:sz w:val="18"/>
                <w:szCs w:val="18"/>
              </w:rPr>
            </w:pPr>
            <w:r w:rsidRPr="00C33E41">
              <w:rPr>
                <w:rFonts w:ascii="Arial" w:hAnsi="Arial" w:cs="Arial"/>
                <w:bCs/>
                <w:color w:val="000000"/>
                <w:sz w:val="18"/>
                <w:szCs w:val="18"/>
              </w:rPr>
              <w:t>61.389.814</w:t>
            </w:r>
          </w:p>
        </w:tc>
        <w:tc>
          <w:tcPr>
            <w:tcW w:w="1050" w:type="pct"/>
            <w:tcBorders>
              <w:top w:val="single" w:sz="4" w:space="0" w:color="auto"/>
            </w:tcBorders>
            <w:shd w:val="clear" w:color="auto" w:fill="8DB3E2"/>
            <w:vAlign w:val="center"/>
          </w:tcPr>
          <w:p w:rsidR="002F2BC3" w:rsidRPr="00C33E41" w:rsidRDefault="002A2EFF" w:rsidP="004A60A2">
            <w:pPr>
              <w:spacing w:after="0"/>
              <w:jc w:val="right"/>
              <w:rPr>
                <w:rFonts w:ascii="Arial" w:hAnsi="Arial" w:cs="Arial"/>
                <w:sz w:val="18"/>
                <w:szCs w:val="18"/>
              </w:rPr>
            </w:pPr>
            <w:r w:rsidRPr="00C33E41">
              <w:rPr>
                <w:rFonts w:ascii="Arial" w:hAnsi="Arial" w:cs="Arial"/>
                <w:sz w:val="18"/>
                <w:szCs w:val="18"/>
              </w:rPr>
              <w:t>92.903.301</w:t>
            </w:r>
          </w:p>
        </w:tc>
      </w:tr>
    </w:tbl>
    <w:p w:rsidR="00D22CC5" w:rsidRDefault="004A60A2" w:rsidP="00896C0A">
      <w:pPr>
        <w:pStyle w:val="texto"/>
        <w:spacing w:before="240" w:after="120"/>
      </w:pPr>
      <w:r>
        <w:t xml:space="preserve">La diferencia en la compensación total que realizaría la ACFN a </w:t>
      </w:r>
      <w:proofErr w:type="spellStart"/>
      <w:r>
        <w:t>Audenasa</w:t>
      </w:r>
      <w:proofErr w:type="spellEnd"/>
      <w:r>
        <w:t xml:space="preserve"> por los descuentos derivados de la política comercial entre considerar el valor 1 </w:t>
      </w:r>
      <w:proofErr w:type="spellStart"/>
      <w:r>
        <w:t>ó</w:t>
      </w:r>
      <w:proofErr w:type="spellEnd"/>
      <w:r>
        <w:t xml:space="preserve"> 1,65 al coeficiente C en 2020 asciende a </w:t>
      </w:r>
      <w:r w:rsidR="002A2EFF">
        <w:t>92,90</w:t>
      </w:r>
      <w:r>
        <w:t xml:space="preserve"> millones. Como ya hemos i</w:t>
      </w:r>
      <w:r>
        <w:t>n</w:t>
      </w:r>
      <w:r>
        <w:t xml:space="preserve">dicado, esta diferencia está condicionada por la recaudación teórica de 2020 obtenida para cada </w:t>
      </w:r>
      <w:r w:rsidR="005C34E0">
        <w:t>valor del coeficiente C</w:t>
      </w:r>
      <w:r>
        <w:t>.</w:t>
      </w:r>
    </w:p>
    <w:p w:rsidR="00EC5ABF" w:rsidRDefault="00CA74FA" w:rsidP="00EC5ABF">
      <w:pPr>
        <w:pStyle w:val="texto"/>
        <w:tabs>
          <w:tab w:val="clear" w:pos="2835"/>
          <w:tab w:val="clear" w:pos="3969"/>
          <w:tab w:val="clear" w:pos="5103"/>
          <w:tab w:val="clear" w:pos="6237"/>
          <w:tab w:val="clear" w:pos="7371"/>
          <w:tab w:val="left" w:pos="567"/>
        </w:tabs>
        <w:spacing w:after="120"/>
        <w:rPr>
          <w:i/>
          <w:sz w:val="24"/>
        </w:rPr>
      </w:pPr>
      <w:r>
        <w:t>Por otro lado, el PEF vigente actualmente, aprobado en 2014 y actualizado anualmente, se elabora para</w:t>
      </w:r>
      <w:r w:rsidRPr="00CA74FA">
        <w:rPr>
          <w:szCs w:val="26"/>
        </w:rPr>
        <w:t xml:space="preserve"> </w:t>
      </w:r>
      <w:r w:rsidRPr="00763F7D">
        <w:rPr>
          <w:szCs w:val="26"/>
        </w:rPr>
        <w:t>garantiza</w:t>
      </w:r>
      <w:r>
        <w:rPr>
          <w:szCs w:val="26"/>
        </w:rPr>
        <w:t>r</w:t>
      </w:r>
      <w:r w:rsidRPr="00763F7D">
        <w:rPr>
          <w:szCs w:val="26"/>
        </w:rPr>
        <w:t xml:space="preserve"> de forma razonable, con la incertidu</w:t>
      </w:r>
      <w:r w:rsidRPr="00763F7D">
        <w:rPr>
          <w:szCs w:val="26"/>
        </w:rPr>
        <w:t>m</w:t>
      </w:r>
      <w:r w:rsidRPr="00763F7D">
        <w:rPr>
          <w:szCs w:val="26"/>
        </w:rPr>
        <w:t>bre propia de toda previsión a largo plazo, la viabilidad de la concesión y el mantenimiento del</w:t>
      </w:r>
      <w:r w:rsidR="00213878">
        <w:rPr>
          <w:szCs w:val="26"/>
        </w:rPr>
        <w:t xml:space="preserve"> equilibrio económico-financiero. </w:t>
      </w:r>
      <w:r w:rsidR="00EC5ABF">
        <w:rPr>
          <w:szCs w:val="26"/>
        </w:rPr>
        <w:t>Así, l</w:t>
      </w:r>
      <w:r w:rsidR="004A60A2">
        <w:t xml:space="preserve">a cláusula </w:t>
      </w:r>
      <w:r w:rsidR="00D22CC5">
        <w:t xml:space="preserve">7ª </w:t>
      </w:r>
      <w:r w:rsidR="00896C0A">
        <w:t>del co</w:t>
      </w:r>
      <w:r w:rsidR="00896C0A">
        <w:t>n</w:t>
      </w:r>
      <w:r w:rsidR="00896C0A">
        <w:t>venio de 1999</w:t>
      </w:r>
      <w:r>
        <w:t xml:space="preserve"> establece lo siguiente: </w:t>
      </w:r>
      <w:r w:rsidRPr="00CA74FA">
        <w:rPr>
          <w:i/>
          <w:sz w:val="24"/>
        </w:rPr>
        <w:t xml:space="preserve">“…Si en el futuro la aplicación del presente acuerdo afectase negativamente al plan económico financiero de </w:t>
      </w:r>
      <w:proofErr w:type="spellStart"/>
      <w:r w:rsidRPr="00CA74FA">
        <w:rPr>
          <w:i/>
          <w:sz w:val="24"/>
        </w:rPr>
        <w:t>Audenasa</w:t>
      </w:r>
      <w:proofErr w:type="spellEnd"/>
      <w:r w:rsidRPr="00CA74FA">
        <w:rPr>
          <w:i/>
          <w:sz w:val="24"/>
        </w:rPr>
        <w:t>, el G</w:t>
      </w:r>
      <w:r w:rsidRPr="00CA74FA">
        <w:rPr>
          <w:i/>
          <w:sz w:val="24"/>
        </w:rPr>
        <w:t>o</w:t>
      </w:r>
      <w:r w:rsidRPr="00CA74FA">
        <w:rPr>
          <w:i/>
          <w:sz w:val="24"/>
        </w:rPr>
        <w:t xml:space="preserve">bierno de Navarra adoptará cuantas medidas resulten oportunas para mantener el equilibrio económico-financiero de </w:t>
      </w:r>
      <w:r w:rsidRPr="008F74CC">
        <w:rPr>
          <w:i/>
          <w:sz w:val="24"/>
        </w:rPr>
        <w:t>la concesión</w:t>
      </w:r>
      <w:r w:rsidR="008F74CC">
        <w:rPr>
          <w:i/>
          <w:sz w:val="24"/>
        </w:rPr>
        <w:t>”.</w:t>
      </w:r>
    </w:p>
    <w:p w:rsidR="00D22CC5" w:rsidRDefault="00EC5ABF" w:rsidP="00EC5ABF">
      <w:pPr>
        <w:pStyle w:val="texto"/>
        <w:tabs>
          <w:tab w:val="clear" w:pos="2835"/>
          <w:tab w:val="clear" w:pos="3969"/>
          <w:tab w:val="clear" w:pos="5103"/>
          <w:tab w:val="clear" w:pos="6237"/>
          <w:tab w:val="clear" w:pos="7371"/>
          <w:tab w:val="left" w:pos="567"/>
        </w:tabs>
        <w:spacing w:after="240"/>
      </w:pPr>
      <w:r>
        <w:t xml:space="preserve">Si se cumplieran las previsiones del PEF actualizado a 2020, el impacto en los principales indicadores económico-financieros de </w:t>
      </w:r>
      <w:proofErr w:type="spellStart"/>
      <w:r>
        <w:t>Audenasa</w:t>
      </w:r>
      <w:proofErr w:type="spellEnd"/>
      <w:r>
        <w:t xml:space="preserve"> de las dos o</w:t>
      </w:r>
      <w:r>
        <w:t>p</w:t>
      </w:r>
      <w:r>
        <w:t xml:space="preserve">ciones consideradas para el coeficiente C </w:t>
      </w:r>
      <w:r w:rsidR="009A09EF">
        <w:t>para el conjunto del periodo 2014-2029</w:t>
      </w:r>
      <w:r w:rsidR="00D94968">
        <w:t xml:space="preserve"> (en miles de euros)</w:t>
      </w:r>
      <w:r>
        <w:t xml:space="preserve"> es el siguiente</w:t>
      </w:r>
      <w:r w:rsidR="00213878">
        <w:t>:</w:t>
      </w:r>
    </w:p>
    <w:tbl>
      <w:tblPr>
        <w:tblW w:w="5001"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582"/>
        <w:gridCol w:w="849"/>
        <w:gridCol w:w="1375"/>
        <w:gridCol w:w="1375"/>
        <w:gridCol w:w="1375"/>
        <w:gridCol w:w="1375"/>
      </w:tblGrid>
      <w:tr w:rsidR="00C33E41" w:rsidRPr="00C33E41" w:rsidTr="00844FD7">
        <w:trPr>
          <w:trHeight w:val="255"/>
        </w:trPr>
        <w:tc>
          <w:tcPr>
            <w:tcW w:w="1445" w:type="pct"/>
            <w:tcBorders>
              <w:top w:val="single" w:sz="4" w:space="0" w:color="auto"/>
              <w:bottom w:val="single" w:sz="4" w:space="0" w:color="auto"/>
            </w:tcBorders>
            <w:shd w:val="clear" w:color="auto" w:fill="8DB3E2"/>
            <w:noWrap/>
            <w:vAlign w:val="center"/>
          </w:tcPr>
          <w:p w:rsidR="009A09EF" w:rsidRPr="00C33E41" w:rsidRDefault="009A09EF" w:rsidP="00C33E41">
            <w:pPr>
              <w:spacing w:after="0"/>
              <w:ind w:firstLine="0"/>
              <w:jc w:val="left"/>
              <w:rPr>
                <w:rFonts w:ascii="Arial" w:hAnsi="Arial" w:cs="Arial"/>
                <w:sz w:val="18"/>
                <w:szCs w:val="24"/>
                <w:lang w:val="es-ES" w:eastAsia="es-ES"/>
              </w:rPr>
            </w:pPr>
          </w:p>
        </w:tc>
        <w:tc>
          <w:tcPr>
            <w:tcW w:w="475" w:type="pct"/>
            <w:tcBorders>
              <w:top w:val="single" w:sz="4" w:space="0" w:color="auto"/>
              <w:bottom w:val="single" w:sz="4" w:space="0" w:color="auto"/>
              <w:right w:val="single" w:sz="4" w:space="0" w:color="auto"/>
            </w:tcBorders>
            <w:shd w:val="clear" w:color="auto" w:fill="8DB3E2"/>
            <w:noWrap/>
            <w:vAlign w:val="center"/>
          </w:tcPr>
          <w:p w:rsidR="009A09EF" w:rsidRPr="00C33E41" w:rsidRDefault="009A09EF" w:rsidP="00C33E41">
            <w:pPr>
              <w:spacing w:after="0"/>
              <w:ind w:firstLine="0"/>
              <w:jc w:val="right"/>
              <w:rPr>
                <w:rFonts w:ascii="Arial" w:hAnsi="Arial" w:cs="Arial"/>
                <w:color w:val="000000"/>
                <w:sz w:val="18"/>
                <w:szCs w:val="18"/>
                <w:lang w:val="es-ES" w:eastAsia="es-ES"/>
              </w:rPr>
            </w:pPr>
          </w:p>
        </w:tc>
        <w:tc>
          <w:tcPr>
            <w:tcW w:w="1540" w:type="pct"/>
            <w:gridSpan w:val="2"/>
            <w:tcBorders>
              <w:top w:val="single" w:sz="4" w:space="0" w:color="auto"/>
              <w:left w:val="single" w:sz="4" w:space="0" w:color="auto"/>
              <w:right w:val="single" w:sz="4" w:space="0" w:color="auto"/>
            </w:tcBorders>
            <w:shd w:val="clear" w:color="auto" w:fill="8DB3E2"/>
            <w:vAlign w:val="center"/>
          </w:tcPr>
          <w:p w:rsidR="009A09EF" w:rsidRPr="00C33E41" w:rsidRDefault="009A09EF" w:rsidP="00C33E41">
            <w:pPr>
              <w:spacing w:after="0"/>
              <w:ind w:firstLine="0"/>
              <w:jc w:val="center"/>
              <w:rPr>
                <w:rFonts w:ascii="Arial" w:hAnsi="Arial" w:cs="Arial"/>
                <w:color w:val="000000"/>
                <w:sz w:val="18"/>
                <w:szCs w:val="18"/>
                <w:lang w:val="es-ES" w:eastAsia="es-ES"/>
              </w:rPr>
            </w:pPr>
            <w:r w:rsidRPr="00C33E41">
              <w:rPr>
                <w:rFonts w:ascii="Arial" w:hAnsi="Arial" w:cs="Arial"/>
                <w:color w:val="000000"/>
                <w:sz w:val="18"/>
                <w:szCs w:val="18"/>
                <w:lang w:val="es-ES" w:eastAsia="es-ES"/>
              </w:rPr>
              <w:t>C = 1 en 2020</w:t>
            </w:r>
          </w:p>
        </w:tc>
        <w:tc>
          <w:tcPr>
            <w:tcW w:w="1540" w:type="pct"/>
            <w:gridSpan w:val="2"/>
            <w:tcBorders>
              <w:top w:val="single" w:sz="4" w:space="0" w:color="auto"/>
              <w:left w:val="single" w:sz="4" w:space="0" w:color="auto"/>
            </w:tcBorders>
            <w:shd w:val="clear" w:color="auto" w:fill="8DB3E2"/>
            <w:vAlign w:val="center"/>
          </w:tcPr>
          <w:p w:rsidR="009A09EF" w:rsidRPr="00C33E41" w:rsidRDefault="009A09EF" w:rsidP="00C33E41">
            <w:pPr>
              <w:spacing w:after="0"/>
              <w:ind w:firstLine="0"/>
              <w:jc w:val="center"/>
              <w:rPr>
                <w:rFonts w:ascii="Arial" w:hAnsi="Arial" w:cs="Arial"/>
                <w:color w:val="000000"/>
                <w:sz w:val="18"/>
                <w:szCs w:val="18"/>
                <w:lang w:val="es-ES" w:eastAsia="es-ES"/>
              </w:rPr>
            </w:pPr>
            <w:r w:rsidRPr="00C33E41">
              <w:rPr>
                <w:rFonts w:ascii="Arial" w:hAnsi="Arial" w:cs="Arial"/>
                <w:color w:val="000000"/>
                <w:sz w:val="18"/>
                <w:szCs w:val="18"/>
                <w:lang w:val="es-ES" w:eastAsia="es-ES"/>
              </w:rPr>
              <w:t>C = 1,65 en 2020</w:t>
            </w:r>
          </w:p>
        </w:tc>
      </w:tr>
      <w:tr w:rsidR="008A7475" w:rsidRPr="006D36EF" w:rsidTr="008A7475">
        <w:trPr>
          <w:trHeight w:val="255"/>
        </w:trPr>
        <w:tc>
          <w:tcPr>
            <w:tcW w:w="1445" w:type="pct"/>
            <w:tcBorders>
              <w:bottom w:val="single" w:sz="4" w:space="0" w:color="auto"/>
            </w:tcBorders>
            <w:shd w:val="clear" w:color="auto" w:fill="8DB3E2"/>
            <w:noWrap/>
            <w:vAlign w:val="center"/>
            <w:hideMark/>
          </w:tcPr>
          <w:p w:rsidR="002A2EFF" w:rsidRPr="00C33E41" w:rsidRDefault="002A2EFF" w:rsidP="00C33E41">
            <w:pPr>
              <w:spacing w:after="0"/>
              <w:ind w:firstLine="0"/>
              <w:jc w:val="left"/>
              <w:rPr>
                <w:rFonts w:ascii="Arial" w:hAnsi="Arial" w:cs="Arial"/>
                <w:sz w:val="18"/>
                <w:szCs w:val="24"/>
                <w:lang w:val="es-ES" w:eastAsia="es-ES"/>
              </w:rPr>
            </w:pPr>
          </w:p>
        </w:tc>
        <w:tc>
          <w:tcPr>
            <w:tcW w:w="475" w:type="pct"/>
            <w:tcBorders>
              <w:bottom w:val="single" w:sz="4" w:space="0" w:color="auto"/>
              <w:right w:val="single" w:sz="4" w:space="0" w:color="auto"/>
            </w:tcBorders>
            <w:shd w:val="clear" w:color="auto" w:fill="8DB3E2"/>
            <w:noWrap/>
            <w:hideMark/>
          </w:tcPr>
          <w:p w:rsidR="002A2EFF" w:rsidRPr="00272A4C" w:rsidRDefault="002A2EFF" w:rsidP="001E0949">
            <w:pPr>
              <w:spacing w:after="0"/>
              <w:ind w:firstLine="0"/>
              <w:jc w:val="right"/>
              <w:rPr>
                <w:rFonts w:ascii="Arial" w:hAnsi="Arial" w:cs="Arial"/>
                <w:color w:val="000000"/>
                <w:sz w:val="16"/>
                <w:szCs w:val="16"/>
                <w:lang w:val="es-ES" w:eastAsia="es-ES"/>
              </w:rPr>
            </w:pPr>
            <w:r w:rsidRPr="00272A4C">
              <w:rPr>
                <w:rFonts w:ascii="Arial" w:hAnsi="Arial" w:cs="Arial"/>
                <w:color w:val="000000"/>
                <w:sz w:val="16"/>
                <w:szCs w:val="16"/>
                <w:lang w:val="es-ES" w:eastAsia="es-ES"/>
              </w:rPr>
              <w:t>PEF</w:t>
            </w:r>
          </w:p>
          <w:p w:rsidR="002A2EFF" w:rsidRPr="00272A4C" w:rsidRDefault="002A2EFF" w:rsidP="001E0949">
            <w:pPr>
              <w:spacing w:after="0"/>
              <w:ind w:firstLine="0"/>
              <w:jc w:val="right"/>
              <w:rPr>
                <w:rFonts w:ascii="Arial" w:hAnsi="Arial" w:cs="Arial"/>
                <w:color w:val="000000"/>
                <w:sz w:val="16"/>
                <w:szCs w:val="16"/>
                <w:lang w:val="es-ES" w:eastAsia="es-ES"/>
              </w:rPr>
            </w:pPr>
            <w:r w:rsidRPr="00272A4C">
              <w:rPr>
                <w:rFonts w:ascii="Arial" w:hAnsi="Arial" w:cs="Arial"/>
                <w:color w:val="000000"/>
                <w:sz w:val="16"/>
                <w:szCs w:val="16"/>
                <w:lang w:val="es-ES" w:eastAsia="es-ES"/>
              </w:rPr>
              <w:t>2014</w:t>
            </w:r>
          </w:p>
        </w:tc>
        <w:tc>
          <w:tcPr>
            <w:tcW w:w="770" w:type="pct"/>
            <w:tcBorders>
              <w:left w:val="single" w:sz="4" w:space="0" w:color="auto"/>
              <w:bottom w:val="single" w:sz="4" w:space="0" w:color="auto"/>
            </w:tcBorders>
            <w:shd w:val="clear" w:color="auto" w:fill="8DB3E2"/>
            <w:hideMark/>
          </w:tcPr>
          <w:p w:rsidR="002A2EFF" w:rsidRPr="00272A4C" w:rsidRDefault="002A2EFF" w:rsidP="001E0949">
            <w:pPr>
              <w:spacing w:after="0"/>
              <w:ind w:firstLine="0"/>
              <w:jc w:val="right"/>
              <w:rPr>
                <w:rFonts w:ascii="Arial" w:hAnsi="Arial" w:cs="Arial"/>
                <w:color w:val="000000"/>
                <w:sz w:val="16"/>
                <w:szCs w:val="16"/>
                <w:lang w:val="es-ES" w:eastAsia="es-ES"/>
              </w:rPr>
            </w:pPr>
            <w:r w:rsidRPr="00272A4C">
              <w:rPr>
                <w:rFonts w:ascii="Arial" w:hAnsi="Arial" w:cs="Arial"/>
                <w:color w:val="000000"/>
                <w:sz w:val="16"/>
                <w:szCs w:val="16"/>
                <w:lang w:val="es-ES" w:eastAsia="es-ES"/>
              </w:rPr>
              <w:t>PEF actualizado 2020</w:t>
            </w:r>
          </w:p>
        </w:tc>
        <w:tc>
          <w:tcPr>
            <w:tcW w:w="770" w:type="pct"/>
            <w:tcBorders>
              <w:bottom w:val="single" w:sz="4" w:space="0" w:color="auto"/>
              <w:right w:val="single" w:sz="4" w:space="0" w:color="auto"/>
            </w:tcBorders>
            <w:shd w:val="clear" w:color="auto" w:fill="8DB3E2"/>
            <w:hideMark/>
          </w:tcPr>
          <w:p w:rsidR="00272A4C" w:rsidRDefault="00272A4C" w:rsidP="00272A4C">
            <w:pPr>
              <w:spacing w:after="0"/>
              <w:ind w:left="-111"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Var.</w:t>
            </w:r>
            <w:r w:rsidR="002A2EFF" w:rsidRPr="00272A4C">
              <w:rPr>
                <w:rFonts w:ascii="Arial" w:hAnsi="Arial" w:cs="Arial"/>
                <w:color w:val="000000"/>
                <w:sz w:val="16"/>
                <w:szCs w:val="16"/>
                <w:lang w:val="es-ES" w:eastAsia="es-ES"/>
              </w:rPr>
              <w:t xml:space="preserve">% PEF 2020 </w:t>
            </w:r>
          </w:p>
          <w:p w:rsidR="002A2EFF" w:rsidRPr="00272A4C" w:rsidRDefault="002A2EFF" w:rsidP="00272A4C">
            <w:pPr>
              <w:spacing w:after="0"/>
              <w:ind w:left="-111" w:firstLine="0"/>
              <w:jc w:val="right"/>
              <w:rPr>
                <w:rFonts w:ascii="Arial" w:hAnsi="Arial" w:cs="Arial"/>
                <w:color w:val="000000"/>
                <w:sz w:val="16"/>
                <w:szCs w:val="16"/>
                <w:lang w:val="es-ES" w:eastAsia="es-ES"/>
              </w:rPr>
            </w:pPr>
            <w:r w:rsidRPr="00272A4C">
              <w:rPr>
                <w:rFonts w:ascii="Arial" w:hAnsi="Arial" w:cs="Arial"/>
                <w:color w:val="000000"/>
                <w:sz w:val="16"/>
                <w:szCs w:val="16"/>
                <w:lang w:val="es-ES" w:eastAsia="es-ES"/>
              </w:rPr>
              <w:t>s/ PEF 2014</w:t>
            </w:r>
          </w:p>
        </w:tc>
        <w:tc>
          <w:tcPr>
            <w:tcW w:w="770" w:type="pct"/>
            <w:tcBorders>
              <w:left w:val="single" w:sz="4" w:space="0" w:color="auto"/>
              <w:bottom w:val="single" w:sz="4" w:space="0" w:color="auto"/>
            </w:tcBorders>
            <w:shd w:val="clear" w:color="auto" w:fill="8DB3E2"/>
            <w:hideMark/>
          </w:tcPr>
          <w:p w:rsidR="002A2EFF" w:rsidRPr="00272A4C" w:rsidRDefault="002A2EFF" w:rsidP="00272A4C">
            <w:pPr>
              <w:spacing w:after="0"/>
              <w:ind w:firstLine="0"/>
              <w:jc w:val="right"/>
              <w:rPr>
                <w:rFonts w:ascii="Arial" w:hAnsi="Arial" w:cs="Arial"/>
                <w:sz w:val="16"/>
                <w:szCs w:val="16"/>
                <w:lang w:val="es-ES" w:eastAsia="es-ES"/>
              </w:rPr>
            </w:pPr>
            <w:r w:rsidRPr="00272A4C">
              <w:rPr>
                <w:rFonts w:ascii="Arial" w:hAnsi="Arial" w:cs="Arial"/>
                <w:color w:val="000000"/>
                <w:sz w:val="16"/>
                <w:szCs w:val="16"/>
                <w:lang w:val="es-ES" w:eastAsia="es-ES"/>
              </w:rPr>
              <w:t>PEF</w:t>
            </w:r>
            <w:r w:rsidR="00272A4C">
              <w:rPr>
                <w:rFonts w:ascii="Arial" w:hAnsi="Arial" w:cs="Arial"/>
                <w:color w:val="000000"/>
                <w:sz w:val="16"/>
                <w:szCs w:val="16"/>
                <w:lang w:val="es-ES" w:eastAsia="es-ES"/>
              </w:rPr>
              <w:t xml:space="preserve"> </w:t>
            </w:r>
            <w:r w:rsidRPr="00272A4C">
              <w:rPr>
                <w:rFonts w:ascii="Arial" w:hAnsi="Arial" w:cs="Arial"/>
                <w:color w:val="000000"/>
                <w:sz w:val="16"/>
                <w:szCs w:val="16"/>
                <w:lang w:val="es-ES" w:eastAsia="es-ES"/>
              </w:rPr>
              <w:t>actualizado 2020</w:t>
            </w:r>
          </w:p>
        </w:tc>
        <w:tc>
          <w:tcPr>
            <w:tcW w:w="770" w:type="pct"/>
            <w:tcBorders>
              <w:bottom w:val="single" w:sz="4" w:space="0" w:color="auto"/>
            </w:tcBorders>
            <w:shd w:val="clear" w:color="auto" w:fill="8DB3E2"/>
            <w:hideMark/>
          </w:tcPr>
          <w:p w:rsidR="00272A4C" w:rsidRDefault="002A2EFF" w:rsidP="001E0949">
            <w:pPr>
              <w:spacing w:after="0"/>
              <w:ind w:firstLine="0"/>
              <w:jc w:val="right"/>
              <w:rPr>
                <w:rFonts w:ascii="Arial" w:hAnsi="Arial" w:cs="Arial"/>
                <w:color w:val="000000"/>
                <w:sz w:val="16"/>
                <w:szCs w:val="16"/>
                <w:lang w:val="es-ES" w:eastAsia="es-ES"/>
              </w:rPr>
            </w:pPr>
            <w:r w:rsidRPr="00272A4C">
              <w:rPr>
                <w:rFonts w:ascii="Arial" w:hAnsi="Arial" w:cs="Arial"/>
                <w:color w:val="000000"/>
                <w:sz w:val="16"/>
                <w:szCs w:val="16"/>
                <w:lang w:val="es-ES" w:eastAsia="es-ES"/>
              </w:rPr>
              <w:t>V</w:t>
            </w:r>
            <w:r w:rsidR="00272A4C">
              <w:rPr>
                <w:rFonts w:ascii="Arial" w:hAnsi="Arial" w:cs="Arial"/>
                <w:color w:val="000000"/>
                <w:sz w:val="16"/>
                <w:szCs w:val="16"/>
                <w:lang w:val="es-ES" w:eastAsia="es-ES"/>
              </w:rPr>
              <w:t>ar</w:t>
            </w:r>
            <w:proofErr w:type="gramStart"/>
            <w:r w:rsidR="00272A4C">
              <w:rPr>
                <w:rFonts w:ascii="Arial" w:hAnsi="Arial" w:cs="Arial"/>
                <w:color w:val="000000"/>
                <w:sz w:val="16"/>
                <w:szCs w:val="16"/>
                <w:lang w:val="es-ES" w:eastAsia="es-ES"/>
              </w:rPr>
              <w:t>.</w:t>
            </w:r>
            <w:r w:rsidRPr="00272A4C">
              <w:rPr>
                <w:rFonts w:ascii="Arial" w:hAnsi="Arial" w:cs="Arial"/>
                <w:color w:val="000000"/>
                <w:sz w:val="16"/>
                <w:szCs w:val="16"/>
                <w:lang w:val="es-ES" w:eastAsia="es-ES"/>
              </w:rPr>
              <w:t>%</w:t>
            </w:r>
            <w:proofErr w:type="gramEnd"/>
          </w:p>
          <w:p w:rsidR="002A2EFF" w:rsidRPr="00272A4C" w:rsidRDefault="002A2EFF" w:rsidP="00272A4C">
            <w:pPr>
              <w:spacing w:after="0"/>
              <w:ind w:firstLine="0"/>
              <w:jc w:val="right"/>
              <w:rPr>
                <w:rFonts w:ascii="Arial" w:hAnsi="Arial" w:cs="Arial"/>
                <w:color w:val="000000"/>
                <w:sz w:val="16"/>
                <w:szCs w:val="16"/>
                <w:lang w:val="es-ES" w:eastAsia="es-ES"/>
              </w:rPr>
            </w:pPr>
            <w:r w:rsidRPr="00272A4C">
              <w:rPr>
                <w:rFonts w:ascii="Arial" w:hAnsi="Arial" w:cs="Arial"/>
                <w:color w:val="000000"/>
                <w:sz w:val="16"/>
                <w:szCs w:val="16"/>
                <w:lang w:val="es-ES" w:eastAsia="es-ES"/>
              </w:rPr>
              <w:t>s/</w:t>
            </w:r>
            <w:r w:rsidR="00272A4C">
              <w:rPr>
                <w:rFonts w:ascii="Arial" w:hAnsi="Arial" w:cs="Arial"/>
                <w:color w:val="000000"/>
                <w:sz w:val="16"/>
                <w:szCs w:val="16"/>
                <w:lang w:val="es-ES" w:eastAsia="es-ES"/>
              </w:rPr>
              <w:t xml:space="preserve"> </w:t>
            </w:r>
            <w:r w:rsidRPr="00272A4C">
              <w:rPr>
                <w:rFonts w:ascii="Arial" w:hAnsi="Arial" w:cs="Arial"/>
                <w:color w:val="000000"/>
                <w:sz w:val="16"/>
                <w:szCs w:val="16"/>
                <w:lang w:val="es-ES" w:eastAsia="es-ES"/>
              </w:rPr>
              <w:t>PEF 2014</w:t>
            </w:r>
          </w:p>
        </w:tc>
      </w:tr>
      <w:tr w:rsidR="008A7475" w:rsidRPr="00C33E41" w:rsidTr="008A7475">
        <w:trPr>
          <w:trHeight w:val="198"/>
        </w:trPr>
        <w:tc>
          <w:tcPr>
            <w:tcW w:w="1445" w:type="pct"/>
            <w:tcBorders>
              <w:top w:val="single" w:sz="4" w:space="0" w:color="auto"/>
              <w:bottom w:val="single" w:sz="2" w:space="0" w:color="auto"/>
            </w:tcBorders>
            <w:shd w:val="clear" w:color="auto" w:fill="auto"/>
            <w:noWrap/>
            <w:vAlign w:val="center"/>
            <w:hideMark/>
          </w:tcPr>
          <w:p w:rsidR="002A2EFF" w:rsidRPr="00C33E41" w:rsidRDefault="002A2EFF" w:rsidP="00C33E41">
            <w:pPr>
              <w:spacing w:after="0"/>
              <w:ind w:firstLine="0"/>
              <w:jc w:val="left"/>
              <w:rPr>
                <w:rFonts w:ascii="Arial Narrow" w:hAnsi="Arial Narrow" w:cs="Calibri"/>
                <w:color w:val="000000"/>
                <w:lang w:val="es-ES" w:eastAsia="es-ES"/>
              </w:rPr>
            </w:pPr>
            <w:r w:rsidRPr="00C33E41">
              <w:rPr>
                <w:rFonts w:ascii="Arial Narrow" w:hAnsi="Arial Narrow" w:cs="Calibri"/>
                <w:color w:val="000000"/>
                <w:lang w:val="es-ES" w:eastAsia="es-ES"/>
              </w:rPr>
              <w:t>Recaudación Teórica</w:t>
            </w:r>
          </w:p>
        </w:tc>
        <w:tc>
          <w:tcPr>
            <w:tcW w:w="475" w:type="pct"/>
            <w:tcBorders>
              <w:top w:val="single" w:sz="4" w:space="0" w:color="auto"/>
              <w:bottom w:val="single" w:sz="2" w:space="0" w:color="auto"/>
              <w:right w:val="single" w:sz="4"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869.584</w:t>
            </w:r>
          </w:p>
        </w:tc>
        <w:tc>
          <w:tcPr>
            <w:tcW w:w="770" w:type="pct"/>
            <w:tcBorders>
              <w:top w:val="single" w:sz="4" w:space="0" w:color="auto"/>
              <w:left w:val="single" w:sz="4" w:space="0" w:color="auto"/>
              <w:bottom w:val="single" w:sz="2"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796.743</w:t>
            </w:r>
          </w:p>
        </w:tc>
        <w:tc>
          <w:tcPr>
            <w:tcW w:w="770" w:type="pct"/>
            <w:tcBorders>
              <w:top w:val="single" w:sz="4" w:space="0" w:color="auto"/>
              <w:bottom w:val="single" w:sz="2" w:space="0" w:color="auto"/>
              <w:right w:val="single" w:sz="4"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-8,4</w:t>
            </w:r>
          </w:p>
        </w:tc>
        <w:tc>
          <w:tcPr>
            <w:tcW w:w="770" w:type="pct"/>
            <w:tcBorders>
              <w:top w:val="single" w:sz="4" w:space="0" w:color="auto"/>
              <w:left w:val="single" w:sz="4" w:space="0" w:color="auto"/>
              <w:bottom w:val="single" w:sz="2"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703.747</w:t>
            </w:r>
          </w:p>
        </w:tc>
        <w:tc>
          <w:tcPr>
            <w:tcW w:w="770" w:type="pct"/>
            <w:tcBorders>
              <w:top w:val="single" w:sz="4" w:space="0" w:color="auto"/>
              <w:bottom w:val="single" w:sz="2"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-19,1</w:t>
            </w:r>
          </w:p>
        </w:tc>
      </w:tr>
      <w:tr w:rsidR="008A7475" w:rsidRPr="00C33E41" w:rsidTr="008A7475">
        <w:trPr>
          <w:trHeight w:val="198"/>
        </w:trPr>
        <w:tc>
          <w:tcPr>
            <w:tcW w:w="1445" w:type="pct"/>
            <w:tcBorders>
              <w:top w:val="single" w:sz="2" w:space="0" w:color="auto"/>
              <w:bottom w:val="single" w:sz="2" w:space="0" w:color="auto"/>
            </w:tcBorders>
            <w:shd w:val="clear" w:color="auto" w:fill="auto"/>
            <w:noWrap/>
            <w:vAlign w:val="center"/>
            <w:hideMark/>
          </w:tcPr>
          <w:p w:rsidR="002A2EFF" w:rsidRPr="00C33E41" w:rsidRDefault="002A2EFF" w:rsidP="00C33E41">
            <w:pPr>
              <w:spacing w:after="0"/>
              <w:ind w:firstLine="0"/>
              <w:jc w:val="left"/>
              <w:rPr>
                <w:rFonts w:ascii="Arial Narrow" w:hAnsi="Arial Narrow" w:cs="Calibri"/>
                <w:color w:val="000000"/>
                <w:lang w:val="es-ES" w:eastAsia="es-ES"/>
              </w:rPr>
            </w:pPr>
            <w:r w:rsidRPr="00C33E41">
              <w:rPr>
                <w:rFonts w:ascii="Arial Narrow" w:hAnsi="Arial Narrow" w:cs="Calibri"/>
                <w:color w:val="000000"/>
                <w:lang w:val="es-ES" w:eastAsia="es-ES"/>
              </w:rPr>
              <w:t>Descuentos</w:t>
            </w:r>
          </w:p>
        </w:tc>
        <w:tc>
          <w:tcPr>
            <w:tcW w:w="475" w:type="pct"/>
            <w:tcBorders>
              <w:top w:val="single" w:sz="2" w:space="0" w:color="auto"/>
              <w:bottom w:val="single" w:sz="2" w:space="0" w:color="auto"/>
              <w:right w:val="single" w:sz="4"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751.201</w:t>
            </w:r>
          </w:p>
        </w:tc>
        <w:tc>
          <w:tcPr>
            <w:tcW w:w="770" w:type="pct"/>
            <w:tcBorders>
              <w:top w:val="single" w:sz="2" w:space="0" w:color="auto"/>
              <w:left w:val="single" w:sz="4" w:space="0" w:color="auto"/>
              <w:bottom w:val="single" w:sz="2"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663.368</w:t>
            </w:r>
          </w:p>
        </w:tc>
        <w:tc>
          <w:tcPr>
            <w:tcW w:w="770" w:type="pct"/>
            <w:tcBorders>
              <w:top w:val="single" w:sz="2" w:space="0" w:color="auto"/>
              <w:bottom w:val="single" w:sz="2" w:space="0" w:color="auto"/>
              <w:right w:val="single" w:sz="4"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-11,7</w:t>
            </w:r>
          </w:p>
        </w:tc>
        <w:tc>
          <w:tcPr>
            <w:tcW w:w="770" w:type="pct"/>
            <w:tcBorders>
              <w:top w:val="single" w:sz="2" w:space="0" w:color="auto"/>
              <w:left w:val="single" w:sz="4" w:space="0" w:color="auto"/>
              <w:bottom w:val="single" w:sz="2"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i/>
                <w:iCs/>
                <w:color w:val="000000"/>
                <w:lang w:val="es-ES" w:eastAsia="es-ES"/>
              </w:rPr>
            </w:pPr>
            <w:r w:rsidRPr="00C33E41">
              <w:rPr>
                <w:rFonts w:ascii="Arial Narrow" w:hAnsi="Arial Narrow" w:cs="Calibri"/>
                <w:i/>
                <w:iCs/>
                <w:color w:val="000000"/>
                <w:lang w:val="es-ES" w:eastAsia="es-ES"/>
              </w:rPr>
              <w:t>663.368</w:t>
            </w:r>
          </w:p>
        </w:tc>
        <w:tc>
          <w:tcPr>
            <w:tcW w:w="770" w:type="pct"/>
            <w:tcBorders>
              <w:top w:val="single" w:sz="2" w:space="0" w:color="auto"/>
              <w:bottom w:val="single" w:sz="2"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-11,7</w:t>
            </w:r>
          </w:p>
        </w:tc>
      </w:tr>
      <w:tr w:rsidR="008A7475" w:rsidRPr="00C33E41" w:rsidTr="008A7475">
        <w:trPr>
          <w:trHeight w:val="198"/>
        </w:trPr>
        <w:tc>
          <w:tcPr>
            <w:tcW w:w="1445" w:type="pct"/>
            <w:tcBorders>
              <w:top w:val="single" w:sz="2" w:space="0" w:color="auto"/>
              <w:bottom w:val="single" w:sz="2" w:space="0" w:color="auto"/>
            </w:tcBorders>
            <w:shd w:val="clear" w:color="auto" w:fill="auto"/>
            <w:noWrap/>
            <w:vAlign w:val="center"/>
            <w:hideMark/>
          </w:tcPr>
          <w:p w:rsidR="002A2EFF" w:rsidRPr="00C33E41" w:rsidRDefault="002A2EFF" w:rsidP="00C33E41">
            <w:pPr>
              <w:spacing w:after="0"/>
              <w:ind w:firstLine="0"/>
              <w:jc w:val="left"/>
              <w:rPr>
                <w:rFonts w:ascii="Arial Narrow" w:hAnsi="Arial Narrow" w:cs="Calibri"/>
                <w:color w:val="000000"/>
                <w:lang w:val="es-ES" w:eastAsia="es-ES"/>
              </w:rPr>
            </w:pPr>
            <w:r w:rsidRPr="00C33E41">
              <w:rPr>
                <w:rFonts w:ascii="Arial Narrow" w:hAnsi="Arial Narrow" w:cs="Calibri"/>
                <w:color w:val="000000"/>
                <w:lang w:val="es-ES" w:eastAsia="es-ES"/>
              </w:rPr>
              <w:t>Compensación ACFN</w:t>
            </w:r>
          </w:p>
        </w:tc>
        <w:tc>
          <w:tcPr>
            <w:tcW w:w="475" w:type="pct"/>
            <w:tcBorders>
              <w:top w:val="single" w:sz="2" w:space="0" w:color="auto"/>
              <w:bottom w:val="single" w:sz="2" w:space="0" w:color="auto"/>
              <w:right w:val="single" w:sz="4" w:space="0" w:color="auto"/>
            </w:tcBorders>
            <w:shd w:val="clear" w:color="auto" w:fill="auto"/>
            <w:noWrap/>
            <w:vAlign w:val="center"/>
            <w:hideMark/>
          </w:tcPr>
          <w:p w:rsidR="002A2EFF" w:rsidRPr="00C33E41" w:rsidRDefault="002A2EFF" w:rsidP="005A423F">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225.</w:t>
            </w:r>
            <w:r w:rsidR="005A423F">
              <w:rPr>
                <w:rFonts w:ascii="Arial Narrow" w:hAnsi="Arial Narrow" w:cs="Calibri"/>
                <w:color w:val="000000"/>
                <w:lang w:val="es-ES" w:eastAsia="es-ES"/>
              </w:rPr>
              <w:t>893</w:t>
            </w:r>
          </w:p>
        </w:tc>
        <w:tc>
          <w:tcPr>
            <w:tcW w:w="770" w:type="pct"/>
            <w:tcBorders>
              <w:top w:val="single" w:sz="2" w:space="0" w:color="auto"/>
              <w:left w:val="single" w:sz="4" w:space="0" w:color="auto"/>
              <w:bottom w:val="single" w:sz="2"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239.163</w:t>
            </w:r>
          </w:p>
        </w:tc>
        <w:tc>
          <w:tcPr>
            <w:tcW w:w="770" w:type="pct"/>
            <w:tcBorders>
              <w:top w:val="single" w:sz="2" w:space="0" w:color="auto"/>
              <w:bottom w:val="single" w:sz="2" w:space="0" w:color="auto"/>
              <w:right w:val="single" w:sz="4" w:space="0" w:color="auto"/>
            </w:tcBorders>
            <w:shd w:val="clear" w:color="auto" w:fill="auto"/>
            <w:noWrap/>
            <w:vAlign w:val="center"/>
            <w:hideMark/>
          </w:tcPr>
          <w:p w:rsidR="002A2EFF" w:rsidRPr="00C33E41" w:rsidRDefault="005A423F" w:rsidP="00C33E41">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5,9</w:t>
            </w:r>
          </w:p>
        </w:tc>
        <w:tc>
          <w:tcPr>
            <w:tcW w:w="770" w:type="pct"/>
            <w:tcBorders>
              <w:top w:val="single" w:sz="2" w:space="0" w:color="auto"/>
              <w:left w:val="single" w:sz="4" w:space="0" w:color="auto"/>
              <w:bottom w:val="single" w:sz="2"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146.168</w:t>
            </w:r>
          </w:p>
        </w:tc>
        <w:tc>
          <w:tcPr>
            <w:tcW w:w="770" w:type="pct"/>
            <w:tcBorders>
              <w:top w:val="single" w:sz="2" w:space="0" w:color="auto"/>
              <w:bottom w:val="single" w:sz="2" w:space="0" w:color="auto"/>
            </w:tcBorders>
            <w:shd w:val="clear" w:color="auto" w:fill="auto"/>
            <w:noWrap/>
            <w:vAlign w:val="center"/>
            <w:hideMark/>
          </w:tcPr>
          <w:p w:rsidR="002A2EFF" w:rsidRPr="00C33E41" w:rsidRDefault="005A423F" w:rsidP="00C33E41">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-35,3</w:t>
            </w:r>
          </w:p>
        </w:tc>
      </w:tr>
      <w:tr w:rsidR="00844FD7" w:rsidRPr="00C33E41" w:rsidTr="008A7475">
        <w:trPr>
          <w:trHeight w:val="198"/>
        </w:trPr>
        <w:tc>
          <w:tcPr>
            <w:tcW w:w="1445" w:type="pct"/>
            <w:tcBorders>
              <w:top w:val="single" w:sz="2" w:space="0" w:color="auto"/>
              <w:bottom w:val="single" w:sz="2" w:space="0" w:color="auto"/>
            </w:tcBorders>
            <w:shd w:val="clear" w:color="auto" w:fill="auto"/>
            <w:noWrap/>
            <w:vAlign w:val="center"/>
            <w:hideMark/>
          </w:tcPr>
          <w:p w:rsidR="001E0949" w:rsidRPr="00C33E41" w:rsidRDefault="001E0949" w:rsidP="00C33E41">
            <w:pPr>
              <w:spacing w:after="0"/>
              <w:ind w:firstLine="0"/>
              <w:jc w:val="left"/>
              <w:rPr>
                <w:rFonts w:ascii="Arial Narrow" w:hAnsi="Arial Narrow" w:cs="Calibri"/>
                <w:color w:val="000000"/>
                <w:lang w:val="es-ES" w:eastAsia="es-ES"/>
              </w:rPr>
            </w:pPr>
            <w:r w:rsidRPr="00C33E41">
              <w:rPr>
                <w:rFonts w:ascii="Arial Narrow" w:hAnsi="Arial Narrow" w:cs="Calibri"/>
                <w:color w:val="000000"/>
                <w:lang w:val="es-ES" w:eastAsia="es-ES"/>
              </w:rPr>
              <w:t>% compensación s/ descuentos</w:t>
            </w:r>
          </w:p>
        </w:tc>
        <w:tc>
          <w:tcPr>
            <w:tcW w:w="475" w:type="pct"/>
            <w:tcBorders>
              <w:top w:val="single" w:sz="2" w:space="0" w:color="auto"/>
              <w:bottom w:val="single" w:sz="2" w:space="0" w:color="auto"/>
              <w:right w:val="single" w:sz="4" w:space="0" w:color="auto"/>
            </w:tcBorders>
            <w:shd w:val="clear" w:color="auto" w:fill="auto"/>
            <w:noWrap/>
            <w:vAlign w:val="center"/>
            <w:hideMark/>
          </w:tcPr>
          <w:p w:rsidR="001E0949" w:rsidRPr="00C33E41" w:rsidRDefault="001E0949"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30</w:t>
            </w:r>
          </w:p>
        </w:tc>
        <w:tc>
          <w:tcPr>
            <w:tcW w:w="770" w:type="pct"/>
            <w:tcBorders>
              <w:top w:val="single" w:sz="2" w:space="0" w:color="auto"/>
              <w:left w:val="single" w:sz="4" w:space="0" w:color="auto"/>
              <w:bottom w:val="single" w:sz="2" w:space="0" w:color="auto"/>
            </w:tcBorders>
            <w:shd w:val="clear" w:color="auto" w:fill="auto"/>
            <w:noWrap/>
            <w:vAlign w:val="center"/>
            <w:hideMark/>
          </w:tcPr>
          <w:p w:rsidR="001E0949" w:rsidRPr="00C33E41" w:rsidRDefault="001E0949"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36</w:t>
            </w:r>
          </w:p>
        </w:tc>
        <w:tc>
          <w:tcPr>
            <w:tcW w:w="770" w:type="pct"/>
            <w:tcBorders>
              <w:top w:val="single" w:sz="2" w:space="0" w:color="auto"/>
              <w:bottom w:val="single" w:sz="2" w:space="0" w:color="auto"/>
              <w:right w:val="single" w:sz="4" w:space="0" w:color="auto"/>
            </w:tcBorders>
            <w:shd w:val="clear" w:color="auto" w:fill="auto"/>
            <w:noWrap/>
            <w:vAlign w:val="center"/>
            <w:hideMark/>
          </w:tcPr>
          <w:p w:rsidR="001E0949" w:rsidRPr="00C33E41" w:rsidRDefault="005A423F" w:rsidP="00C33E41">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19,9</w:t>
            </w:r>
          </w:p>
        </w:tc>
        <w:tc>
          <w:tcPr>
            <w:tcW w:w="770" w:type="pct"/>
            <w:tcBorders>
              <w:top w:val="single" w:sz="2" w:space="0" w:color="auto"/>
              <w:left w:val="single" w:sz="4" w:space="0" w:color="auto"/>
              <w:bottom w:val="single" w:sz="2" w:space="0" w:color="auto"/>
            </w:tcBorders>
            <w:shd w:val="clear" w:color="auto" w:fill="auto"/>
            <w:noWrap/>
            <w:vAlign w:val="center"/>
            <w:hideMark/>
          </w:tcPr>
          <w:p w:rsidR="001E0949" w:rsidRPr="00C33E41" w:rsidRDefault="001E0949" w:rsidP="001E0949">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22</w:t>
            </w:r>
          </w:p>
        </w:tc>
        <w:tc>
          <w:tcPr>
            <w:tcW w:w="770" w:type="pct"/>
            <w:tcBorders>
              <w:top w:val="single" w:sz="2" w:space="0" w:color="auto"/>
              <w:bottom w:val="single" w:sz="2" w:space="0" w:color="auto"/>
            </w:tcBorders>
            <w:shd w:val="clear" w:color="auto" w:fill="auto"/>
            <w:noWrap/>
            <w:vAlign w:val="center"/>
          </w:tcPr>
          <w:p w:rsidR="001E0949" w:rsidRPr="00C33E41" w:rsidRDefault="001E0949" w:rsidP="00C33E41">
            <w:pPr>
              <w:spacing w:after="0"/>
              <w:ind w:firstLine="0"/>
              <w:jc w:val="right"/>
              <w:rPr>
                <w:rFonts w:ascii="Arial Narrow" w:hAnsi="Arial Narrow"/>
                <w:lang w:val="es-ES" w:eastAsia="es-ES"/>
              </w:rPr>
            </w:pPr>
            <w:r w:rsidRPr="00C33E41">
              <w:rPr>
                <w:rFonts w:ascii="Arial Narrow" w:hAnsi="Arial Narrow"/>
                <w:lang w:val="es-ES" w:eastAsia="es-ES"/>
              </w:rPr>
              <w:t>-26,7</w:t>
            </w:r>
          </w:p>
        </w:tc>
      </w:tr>
      <w:tr w:rsidR="008A7475" w:rsidRPr="00C33E41" w:rsidTr="008A7475">
        <w:trPr>
          <w:trHeight w:val="198"/>
        </w:trPr>
        <w:tc>
          <w:tcPr>
            <w:tcW w:w="1445" w:type="pct"/>
            <w:tcBorders>
              <w:top w:val="single" w:sz="2" w:space="0" w:color="auto"/>
              <w:bottom w:val="single" w:sz="2" w:space="0" w:color="auto"/>
            </w:tcBorders>
            <w:shd w:val="clear" w:color="auto" w:fill="auto"/>
            <w:noWrap/>
            <w:vAlign w:val="center"/>
            <w:hideMark/>
          </w:tcPr>
          <w:p w:rsidR="002A2EFF" w:rsidRPr="00C33E41" w:rsidRDefault="002A2EFF" w:rsidP="00C33E41">
            <w:pPr>
              <w:spacing w:after="0"/>
              <w:ind w:firstLine="0"/>
              <w:jc w:val="left"/>
              <w:rPr>
                <w:rFonts w:ascii="Arial Narrow" w:hAnsi="Arial Narrow" w:cs="Calibri"/>
                <w:color w:val="000000"/>
                <w:lang w:val="es-ES" w:eastAsia="es-ES"/>
              </w:rPr>
            </w:pPr>
            <w:proofErr w:type="spellStart"/>
            <w:r w:rsidRPr="00C33E41">
              <w:rPr>
                <w:rFonts w:ascii="Arial Narrow" w:hAnsi="Arial Narrow" w:cs="Calibri"/>
                <w:color w:val="000000"/>
                <w:lang w:val="es-ES" w:eastAsia="es-ES"/>
              </w:rPr>
              <w:t>R</w:t>
            </w:r>
            <w:r w:rsidR="008C18CB" w:rsidRPr="00C33E41">
              <w:rPr>
                <w:rFonts w:ascii="Arial Narrow" w:hAnsi="Arial Narrow" w:cs="Calibri"/>
                <w:color w:val="000000"/>
                <w:lang w:val="es-ES" w:eastAsia="es-ES"/>
              </w:rPr>
              <w:t>t</w:t>
            </w:r>
            <w:r w:rsidRPr="00C33E41">
              <w:rPr>
                <w:rFonts w:ascii="Arial Narrow" w:hAnsi="Arial Narrow" w:cs="Calibri"/>
                <w:color w:val="000000"/>
                <w:lang w:val="es-ES" w:eastAsia="es-ES"/>
              </w:rPr>
              <w:t>do</w:t>
            </w:r>
            <w:proofErr w:type="spellEnd"/>
            <w:r w:rsidRPr="00C33E41">
              <w:rPr>
                <w:rFonts w:ascii="Arial Narrow" w:hAnsi="Arial Narrow" w:cs="Calibri"/>
                <w:color w:val="000000"/>
                <w:lang w:val="es-ES" w:eastAsia="es-ES"/>
              </w:rPr>
              <w:t xml:space="preserve"> explotación</w:t>
            </w:r>
          </w:p>
        </w:tc>
        <w:tc>
          <w:tcPr>
            <w:tcW w:w="475" w:type="pct"/>
            <w:tcBorders>
              <w:top w:val="single" w:sz="2" w:space="0" w:color="auto"/>
              <w:bottom w:val="single" w:sz="2" w:space="0" w:color="auto"/>
              <w:right w:val="single" w:sz="4"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481.932</w:t>
            </w:r>
          </w:p>
        </w:tc>
        <w:tc>
          <w:tcPr>
            <w:tcW w:w="770" w:type="pct"/>
            <w:tcBorders>
              <w:top w:val="single" w:sz="2" w:space="0" w:color="auto"/>
              <w:left w:val="single" w:sz="4" w:space="0" w:color="auto"/>
              <w:bottom w:val="single" w:sz="2"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466.307</w:t>
            </w:r>
          </w:p>
        </w:tc>
        <w:tc>
          <w:tcPr>
            <w:tcW w:w="770" w:type="pct"/>
            <w:tcBorders>
              <w:top w:val="single" w:sz="2" w:space="0" w:color="auto"/>
              <w:bottom w:val="single" w:sz="2" w:space="0" w:color="auto"/>
              <w:right w:val="single" w:sz="4"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-3,2</w:t>
            </w:r>
          </w:p>
        </w:tc>
        <w:tc>
          <w:tcPr>
            <w:tcW w:w="770" w:type="pct"/>
            <w:tcBorders>
              <w:top w:val="single" w:sz="2" w:space="0" w:color="auto"/>
              <w:left w:val="single" w:sz="4" w:space="0" w:color="auto"/>
              <w:bottom w:val="single" w:sz="2"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373.221</w:t>
            </w:r>
          </w:p>
        </w:tc>
        <w:tc>
          <w:tcPr>
            <w:tcW w:w="770" w:type="pct"/>
            <w:tcBorders>
              <w:top w:val="single" w:sz="2" w:space="0" w:color="auto"/>
              <w:bottom w:val="single" w:sz="2" w:space="0" w:color="auto"/>
            </w:tcBorders>
            <w:shd w:val="clear" w:color="auto" w:fill="auto"/>
            <w:noWrap/>
            <w:vAlign w:val="center"/>
            <w:hideMark/>
          </w:tcPr>
          <w:p w:rsidR="002A2EFF" w:rsidRPr="00C33E41" w:rsidRDefault="00850953"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w:t>
            </w:r>
            <w:r w:rsidR="002A2EFF" w:rsidRPr="00C33E41">
              <w:rPr>
                <w:rFonts w:ascii="Arial Narrow" w:hAnsi="Arial Narrow" w:cs="Calibri"/>
                <w:color w:val="000000"/>
                <w:lang w:val="es-ES" w:eastAsia="es-ES"/>
              </w:rPr>
              <w:t>22,6</w:t>
            </w:r>
          </w:p>
        </w:tc>
      </w:tr>
      <w:tr w:rsidR="008A7475" w:rsidRPr="00C33E41" w:rsidTr="008A7475">
        <w:trPr>
          <w:trHeight w:val="198"/>
        </w:trPr>
        <w:tc>
          <w:tcPr>
            <w:tcW w:w="1445" w:type="pct"/>
            <w:tcBorders>
              <w:top w:val="single" w:sz="2" w:space="0" w:color="auto"/>
              <w:bottom w:val="single" w:sz="4" w:space="0" w:color="auto"/>
            </w:tcBorders>
            <w:shd w:val="clear" w:color="auto" w:fill="auto"/>
            <w:noWrap/>
            <w:vAlign w:val="center"/>
            <w:hideMark/>
          </w:tcPr>
          <w:p w:rsidR="002A2EFF" w:rsidRPr="00C33E41" w:rsidRDefault="002A2EFF" w:rsidP="00C33E41">
            <w:pPr>
              <w:spacing w:after="0"/>
              <w:ind w:firstLine="0"/>
              <w:jc w:val="left"/>
              <w:rPr>
                <w:rFonts w:ascii="Arial Narrow" w:hAnsi="Arial Narrow" w:cs="Calibri"/>
                <w:color w:val="000000"/>
                <w:lang w:val="es-ES" w:eastAsia="es-ES"/>
              </w:rPr>
            </w:pPr>
            <w:r w:rsidRPr="00C33E41">
              <w:rPr>
                <w:rFonts w:ascii="Arial Narrow" w:hAnsi="Arial Narrow" w:cs="Calibri"/>
                <w:color w:val="000000"/>
                <w:lang w:val="es-ES" w:eastAsia="es-ES"/>
              </w:rPr>
              <w:t>EBITDA</w:t>
            </w:r>
          </w:p>
        </w:tc>
        <w:tc>
          <w:tcPr>
            <w:tcW w:w="475" w:type="pct"/>
            <w:tcBorders>
              <w:top w:val="single" w:sz="2" w:space="0" w:color="auto"/>
              <w:bottom w:val="single" w:sz="4" w:space="0" w:color="auto"/>
              <w:right w:val="single" w:sz="4"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719.847</w:t>
            </w:r>
          </w:p>
        </w:tc>
        <w:tc>
          <w:tcPr>
            <w:tcW w:w="770" w:type="pct"/>
            <w:tcBorders>
              <w:top w:val="single" w:sz="2" w:space="0" w:color="auto"/>
              <w:left w:val="single" w:sz="4" w:space="0" w:color="auto"/>
              <w:bottom w:val="single" w:sz="4"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703.848</w:t>
            </w:r>
          </w:p>
        </w:tc>
        <w:tc>
          <w:tcPr>
            <w:tcW w:w="770" w:type="pct"/>
            <w:tcBorders>
              <w:top w:val="single" w:sz="2" w:space="0" w:color="auto"/>
              <w:bottom w:val="single" w:sz="4" w:space="0" w:color="auto"/>
              <w:right w:val="single" w:sz="4"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-2,2</w:t>
            </w:r>
          </w:p>
        </w:tc>
        <w:tc>
          <w:tcPr>
            <w:tcW w:w="770" w:type="pct"/>
            <w:tcBorders>
              <w:top w:val="single" w:sz="2" w:space="0" w:color="auto"/>
              <w:left w:val="single" w:sz="4" w:space="0" w:color="auto"/>
              <w:bottom w:val="single" w:sz="4"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610.852</w:t>
            </w:r>
          </w:p>
        </w:tc>
        <w:tc>
          <w:tcPr>
            <w:tcW w:w="770" w:type="pct"/>
            <w:tcBorders>
              <w:top w:val="single" w:sz="2" w:space="0" w:color="auto"/>
              <w:bottom w:val="single" w:sz="4" w:space="0" w:color="auto"/>
            </w:tcBorders>
            <w:shd w:val="clear" w:color="auto" w:fill="auto"/>
            <w:noWrap/>
            <w:vAlign w:val="center"/>
            <w:hideMark/>
          </w:tcPr>
          <w:p w:rsidR="002A2EFF" w:rsidRPr="00C33E41" w:rsidRDefault="002A2EFF" w:rsidP="00C33E41">
            <w:pPr>
              <w:spacing w:after="0"/>
              <w:ind w:firstLine="0"/>
              <w:jc w:val="right"/>
              <w:rPr>
                <w:rFonts w:ascii="Arial Narrow" w:hAnsi="Arial Narrow" w:cs="Calibri"/>
                <w:color w:val="000000"/>
                <w:lang w:val="es-ES" w:eastAsia="es-ES"/>
              </w:rPr>
            </w:pPr>
            <w:r w:rsidRPr="00C33E41">
              <w:rPr>
                <w:rFonts w:ascii="Arial Narrow" w:hAnsi="Arial Narrow" w:cs="Calibri"/>
                <w:color w:val="000000"/>
                <w:lang w:val="es-ES" w:eastAsia="es-ES"/>
              </w:rPr>
              <w:t>-15,1</w:t>
            </w:r>
          </w:p>
        </w:tc>
      </w:tr>
    </w:tbl>
    <w:p w:rsidR="00213878" w:rsidRDefault="009A09EF" w:rsidP="009A09EF">
      <w:pPr>
        <w:pStyle w:val="texto"/>
        <w:spacing w:before="240" w:after="120"/>
      </w:pPr>
      <w:r>
        <w:lastRenderedPageBreak/>
        <w:t>Del análisis del cuadro anterior señalamos los siguientes aspectos:</w:t>
      </w:r>
    </w:p>
    <w:p w:rsidR="00865CD1" w:rsidRDefault="009A09EF" w:rsidP="00EC5ABF">
      <w:pPr>
        <w:pStyle w:val="texto"/>
        <w:numPr>
          <w:ilvl w:val="0"/>
          <w:numId w:val="10"/>
        </w:numPr>
        <w:tabs>
          <w:tab w:val="clear" w:pos="2835"/>
          <w:tab w:val="clear" w:pos="3969"/>
          <w:tab w:val="clear" w:pos="5103"/>
          <w:tab w:val="clear" w:pos="6237"/>
          <w:tab w:val="clear" w:pos="7371"/>
          <w:tab w:val="left" w:pos="567"/>
        </w:tabs>
        <w:spacing w:after="360"/>
        <w:ind w:left="0" w:firstLine="284"/>
        <w:rPr>
          <w:szCs w:val="26"/>
        </w:rPr>
      </w:pPr>
      <w:r>
        <w:rPr>
          <w:szCs w:val="26"/>
        </w:rPr>
        <w:t>La recaudación teórica actualizada con los datos del PEF 2020 es un 8,4 por ciento inferior a la prevista en 2014; si C hubiera tomado el valor 1,65 en 2020</w:t>
      </w:r>
      <w:r w:rsidR="0013027E">
        <w:rPr>
          <w:szCs w:val="26"/>
        </w:rPr>
        <w:t>,</w:t>
      </w:r>
      <w:r>
        <w:rPr>
          <w:szCs w:val="26"/>
        </w:rPr>
        <w:t xml:space="preserve"> </w:t>
      </w:r>
      <w:r w:rsidR="0013027E">
        <w:rPr>
          <w:szCs w:val="26"/>
        </w:rPr>
        <w:t>la recaudación sería un</w:t>
      </w:r>
      <w:r>
        <w:rPr>
          <w:szCs w:val="26"/>
        </w:rPr>
        <w:t xml:space="preserve"> 19,1 por ciento</w:t>
      </w:r>
      <w:r w:rsidR="0013027E">
        <w:rPr>
          <w:szCs w:val="26"/>
        </w:rPr>
        <w:t xml:space="preserve"> inferior a la prevista en 2014</w:t>
      </w:r>
      <w:r>
        <w:rPr>
          <w:szCs w:val="26"/>
        </w:rPr>
        <w:t>.</w:t>
      </w:r>
      <w:r w:rsidR="00865CD1">
        <w:rPr>
          <w:szCs w:val="26"/>
        </w:rPr>
        <w:t xml:space="preserve"> A </w:t>
      </w:r>
      <w:r w:rsidR="0013027E">
        <w:rPr>
          <w:szCs w:val="26"/>
        </w:rPr>
        <w:t>continuación,</w:t>
      </w:r>
      <w:r w:rsidR="00865CD1">
        <w:rPr>
          <w:szCs w:val="26"/>
        </w:rPr>
        <w:t xml:space="preserve"> mostramos estas diferencias gráficamente:</w:t>
      </w:r>
    </w:p>
    <w:p w:rsidR="00865CD1" w:rsidRDefault="00865CD1" w:rsidP="00865CD1">
      <w:pPr>
        <w:pStyle w:val="texto"/>
        <w:tabs>
          <w:tab w:val="clear" w:pos="2835"/>
          <w:tab w:val="clear" w:pos="3969"/>
          <w:tab w:val="clear" w:pos="5103"/>
          <w:tab w:val="clear" w:pos="6237"/>
          <w:tab w:val="clear" w:pos="7371"/>
          <w:tab w:val="left" w:pos="567"/>
        </w:tabs>
        <w:ind w:left="284" w:firstLine="0"/>
        <w:rPr>
          <w:szCs w:val="26"/>
        </w:rPr>
      </w:pPr>
      <w:r>
        <w:rPr>
          <w:noProof/>
          <w:lang w:val="es-ES" w:eastAsia="es-ES"/>
        </w:rPr>
        <w:drawing>
          <wp:inline distT="0" distB="0" distL="0" distR="0" wp14:anchorId="59907554" wp14:editId="020671DC">
            <wp:extent cx="5610225" cy="3476625"/>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A09EF" w:rsidRDefault="009A09EF" w:rsidP="009A09EF">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 xml:space="preserve">La compensación de la ACFN en el periodo según el PEF actualizado para 2020 es un </w:t>
      </w:r>
      <w:r w:rsidR="005A423F">
        <w:rPr>
          <w:szCs w:val="26"/>
        </w:rPr>
        <w:t>5,9</w:t>
      </w:r>
      <w:r>
        <w:rPr>
          <w:szCs w:val="26"/>
        </w:rPr>
        <w:t xml:space="preserve"> por ciento superior a la prevista en el PEF 2014</w:t>
      </w:r>
      <w:r w:rsidR="00896C0A">
        <w:rPr>
          <w:szCs w:val="26"/>
        </w:rPr>
        <w:t>,</w:t>
      </w:r>
      <w:r>
        <w:rPr>
          <w:szCs w:val="26"/>
        </w:rPr>
        <w:t xml:space="preserve"> dado que esta cifra está calculada para el conjunto del periodo 2014-2029</w:t>
      </w:r>
      <w:r w:rsidRPr="009A09EF">
        <w:rPr>
          <w:szCs w:val="26"/>
        </w:rPr>
        <w:t>.</w:t>
      </w:r>
      <w:r>
        <w:rPr>
          <w:szCs w:val="26"/>
        </w:rPr>
        <w:t xml:space="preserve"> Así, para el peri</w:t>
      </w:r>
      <w:r>
        <w:rPr>
          <w:szCs w:val="26"/>
        </w:rPr>
        <w:t>o</w:t>
      </w:r>
      <w:r>
        <w:rPr>
          <w:szCs w:val="26"/>
        </w:rPr>
        <w:t>do previo al descenso acusado de tráfico en 2020, esta compensación es sup</w:t>
      </w:r>
      <w:r>
        <w:rPr>
          <w:szCs w:val="26"/>
        </w:rPr>
        <w:t>e</w:t>
      </w:r>
      <w:r>
        <w:rPr>
          <w:szCs w:val="26"/>
        </w:rPr>
        <w:t>rior a la prevista en el PEF 2014 en un 15,20 por ciento y el incremento atr</w:t>
      </w:r>
      <w:r>
        <w:rPr>
          <w:szCs w:val="26"/>
        </w:rPr>
        <w:t>i</w:t>
      </w:r>
      <w:r>
        <w:rPr>
          <w:szCs w:val="26"/>
        </w:rPr>
        <w:t>buible al periodo</w:t>
      </w:r>
      <w:r w:rsidR="005A423F">
        <w:rPr>
          <w:szCs w:val="26"/>
        </w:rPr>
        <w:t xml:space="preserve"> 2020-2029 supondría solo un 1,4</w:t>
      </w:r>
      <w:r>
        <w:rPr>
          <w:szCs w:val="26"/>
        </w:rPr>
        <w:t xml:space="preserve"> por ciento.</w:t>
      </w:r>
    </w:p>
    <w:p w:rsidR="009A09EF" w:rsidRDefault="009A09EF" w:rsidP="009A09EF">
      <w:pPr>
        <w:pStyle w:val="texto"/>
        <w:tabs>
          <w:tab w:val="clear" w:pos="2835"/>
          <w:tab w:val="clear" w:pos="3969"/>
          <w:tab w:val="clear" w:pos="5103"/>
          <w:tab w:val="clear" w:pos="6237"/>
          <w:tab w:val="clear" w:pos="7371"/>
          <w:tab w:val="left" w:pos="567"/>
        </w:tabs>
        <w:rPr>
          <w:szCs w:val="26"/>
        </w:rPr>
      </w:pPr>
      <w:r>
        <w:rPr>
          <w:szCs w:val="26"/>
        </w:rPr>
        <w:t>Si el coeficiente C hubiera tomado el valor 1,65 en el año 2020, la compe</w:t>
      </w:r>
      <w:r>
        <w:rPr>
          <w:szCs w:val="26"/>
        </w:rPr>
        <w:t>n</w:t>
      </w:r>
      <w:r>
        <w:rPr>
          <w:szCs w:val="26"/>
        </w:rPr>
        <w:t>sación prevista total resultaría ser un 35,</w:t>
      </w:r>
      <w:r w:rsidR="005A423F">
        <w:rPr>
          <w:szCs w:val="26"/>
        </w:rPr>
        <w:t>3</w:t>
      </w:r>
      <w:r>
        <w:rPr>
          <w:szCs w:val="26"/>
        </w:rPr>
        <w:t xml:space="preserve"> por ciento inferior a la prevista en el PEF de 2014. </w:t>
      </w:r>
    </w:p>
    <w:p w:rsidR="00865CD1" w:rsidRDefault="00865CD1" w:rsidP="009A09EF">
      <w:pPr>
        <w:pStyle w:val="texto"/>
        <w:tabs>
          <w:tab w:val="clear" w:pos="2835"/>
          <w:tab w:val="clear" w:pos="3969"/>
          <w:tab w:val="clear" w:pos="5103"/>
          <w:tab w:val="clear" w:pos="6237"/>
          <w:tab w:val="clear" w:pos="7371"/>
          <w:tab w:val="left" w:pos="567"/>
        </w:tabs>
        <w:rPr>
          <w:szCs w:val="26"/>
        </w:rPr>
      </w:pPr>
      <w:r>
        <w:rPr>
          <w:szCs w:val="26"/>
        </w:rPr>
        <w:t xml:space="preserve">El gráfico </w:t>
      </w:r>
      <w:r w:rsidR="00EC5ABF">
        <w:rPr>
          <w:szCs w:val="26"/>
        </w:rPr>
        <w:t xml:space="preserve">de la página </w:t>
      </w:r>
      <w:r>
        <w:rPr>
          <w:szCs w:val="26"/>
        </w:rPr>
        <w:t>siguiente muestra tanto la opción de aplicar el valor 1 al coeficiente C como la correspondiente al valor 1,65 respecto al PEF 2014</w:t>
      </w:r>
      <w:r w:rsidR="00EC5ABF">
        <w:rPr>
          <w:szCs w:val="26"/>
        </w:rPr>
        <w:t>.</w:t>
      </w:r>
    </w:p>
    <w:p w:rsidR="00865CD1" w:rsidRDefault="005A423F" w:rsidP="009A09EF">
      <w:pPr>
        <w:pStyle w:val="texto"/>
        <w:tabs>
          <w:tab w:val="clear" w:pos="2835"/>
          <w:tab w:val="clear" w:pos="3969"/>
          <w:tab w:val="clear" w:pos="5103"/>
          <w:tab w:val="clear" w:pos="6237"/>
          <w:tab w:val="clear" w:pos="7371"/>
          <w:tab w:val="left" w:pos="567"/>
        </w:tabs>
        <w:rPr>
          <w:szCs w:val="26"/>
        </w:rPr>
      </w:pPr>
      <w:r>
        <w:rPr>
          <w:noProof/>
          <w:lang w:val="es-ES" w:eastAsia="es-ES"/>
        </w:rPr>
        <w:lastRenderedPageBreak/>
        <w:drawing>
          <wp:inline distT="0" distB="0" distL="0" distR="0" wp14:anchorId="6571A241" wp14:editId="3D93552E">
            <wp:extent cx="5314950" cy="3743325"/>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A09EF" w:rsidRDefault="00865CD1" w:rsidP="006C6CC2">
      <w:pPr>
        <w:pStyle w:val="texto"/>
        <w:tabs>
          <w:tab w:val="clear" w:pos="2835"/>
          <w:tab w:val="clear" w:pos="3969"/>
          <w:tab w:val="clear" w:pos="5103"/>
          <w:tab w:val="clear" w:pos="6237"/>
          <w:tab w:val="clear" w:pos="7371"/>
          <w:tab w:val="left" w:pos="567"/>
        </w:tabs>
        <w:rPr>
          <w:szCs w:val="26"/>
        </w:rPr>
      </w:pPr>
      <w:r>
        <w:rPr>
          <w:szCs w:val="26"/>
        </w:rPr>
        <w:t xml:space="preserve"> </w:t>
      </w:r>
      <w:r w:rsidR="006E75F6">
        <w:rPr>
          <w:szCs w:val="26"/>
        </w:rPr>
        <w:t>Tanto el resultado de explotación como el EBITDA presentan un compo</w:t>
      </w:r>
      <w:r w:rsidR="006E75F6">
        <w:rPr>
          <w:szCs w:val="26"/>
        </w:rPr>
        <w:t>r</w:t>
      </w:r>
      <w:r w:rsidR="006E75F6">
        <w:rPr>
          <w:szCs w:val="26"/>
        </w:rPr>
        <w:t>tamiento similar; las disminuciones previstas, según la actualización</w:t>
      </w:r>
      <w:r w:rsidR="00850953">
        <w:rPr>
          <w:szCs w:val="26"/>
        </w:rPr>
        <w:t xml:space="preserve"> del PEF con los datos del 2020</w:t>
      </w:r>
      <w:r w:rsidR="006E75F6">
        <w:rPr>
          <w:szCs w:val="26"/>
        </w:rPr>
        <w:t>, son de un 3,2 y un 2,2 por ciento respecto al PEF 2014.</w:t>
      </w:r>
    </w:p>
    <w:p w:rsidR="00272A4C" w:rsidRDefault="006E75F6" w:rsidP="006C6CC2">
      <w:pPr>
        <w:pStyle w:val="texto"/>
        <w:tabs>
          <w:tab w:val="clear" w:pos="2835"/>
          <w:tab w:val="clear" w:pos="3969"/>
          <w:tab w:val="clear" w:pos="5103"/>
          <w:tab w:val="clear" w:pos="6237"/>
          <w:tab w:val="clear" w:pos="7371"/>
          <w:tab w:val="left" w:pos="567"/>
        </w:tabs>
        <w:rPr>
          <w:szCs w:val="26"/>
        </w:rPr>
      </w:pPr>
      <w:r>
        <w:rPr>
          <w:szCs w:val="26"/>
        </w:rPr>
        <w:t xml:space="preserve">Si se hubiera aplicado el valor 1,65 a C en 2020, la disminución prevista </w:t>
      </w:r>
      <w:r w:rsidR="00850953">
        <w:rPr>
          <w:szCs w:val="26"/>
        </w:rPr>
        <w:t>d</w:t>
      </w:r>
      <w:r>
        <w:rPr>
          <w:szCs w:val="26"/>
        </w:rPr>
        <w:t>el resultado de explotación</w:t>
      </w:r>
      <w:r w:rsidR="00850953">
        <w:rPr>
          <w:szCs w:val="26"/>
        </w:rPr>
        <w:t xml:space="preserve"> y del EBITDA</w:t>
      </w:r>
      <w:r>
        <w:rPr>
          <w:szCs w:val="26"/>
        </w:rPr>
        <w:t xml:space="preserve"> respecto al PEF 2014, hubiera sido del 22,6 </w:t>
      </w:r>
      <w:r w:rsidR="00850953">
        <w:rPr>
          <w:szCs w:val="26"/>
        </w:rPr>
        <w:t>y del 15,1 por c</w:t>
      </w:r>
      <w:r>
        <w:rPr>
          <w:szCs w:val="26"/>
        </w:rPr>
        <w:t>iento respectivamente</w:t>
      </w:r>
      <w:r w:rsidR="00850953">
        <w:rPr>
          <w:szCs w:val="26"/>
        </w:rPr>
        <w:t>.</w:t>
      </w:r>
    </w:p>
    <w:p w:rsidR="00865CD1" w:rsidRDefault="00865CD1" w:rsidP="006E75F6">
      <w:pPr>
        <w:pStyle w:val="texto"/>
        <w:tabs>
          <w:tab w:val="clear" w:pos="2835"/>
          <w:tab w:val="clear" w:pos="3969"/>
          <w:tab w:val="clear" w:pos="5103"/>
          <w:tab w:val="clear" w:pos="6237"/>
          <w:tab w:val="clear" w:pos="7371"/>
          <w:tab w:val="left" w:pos="567"/>
        </w:tabs>
        <w:rPr>
          <w:szCs w:val="26"/>
        </w:rPr>
      </w:pPr>
      <w:r>
        <w:rPr>
          <w:szCs w:val="26"/>
        </w:rPr>
        <w:t>Gráficamente la evolución de estos dos indicadores es la siguiente:</w:t>
      </w:r>
    </w:p>
    <w:p w:rsidR="00865CD1" w:rsidRDefault="00865CD1" w:rsidP="006E75F6">
      <w:pPr>
        <w:pStyle w:val="texto"/>
        <w:tabs>
          <w:tab w:val="clear" w:pos="2835"/>
          <w:tab w:val="clear" w:pos="3969"/>
          <w:tab w:val="clear" w:pos="5103"/>
          <w:tab w:val="clear" w:pos="6237"/>
          <w:tab w:val="clear" w:pos="7371"/>
          <w:tab w:val="left" w:pos="567"/>
        </w:tabs>
        <w:rPr>
          <w:szCs w:val="26"/>
        </w:rPr>
      </w:pPr>
      <w:r>
        <w:rPr>
          <w:noProof/>
          <w:lang w:val="es-ES" w:eastAsia="es-ES"/>
        </w:rPr>
        <w:drawing>
          <wp:inline distT="0" distB="0" distL="0" distR="0" wp14:anchorId="7CCA391E" wp14:editId="3771BCC4">
            <wp:extent cx="5143500" cy="2819400"/>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C5ABF" w:rsidRDefault="00865CD1" w:rsidP="00EC5ABF">
      <w:pPr>
        <w:pStyle w:val="texto"/>
        <w:tabs>
          <w:tab w:val="clear" w:pos="2835"/>
          <w:tab w:val="clear" w:pos="3969"/>
          <w:tab w:val="clear" w:pos="5103"/>
          <w:tab w:val="clear" w:pos="6237"/>
          <w:tab w:val="clear" w:pos="7371"/>
          <w:tab w:val="left" w:pos="567"/>
        </w:tabs>
        <w:ind w:left="284" w:firstLine="0"/>
        <w:rPr>
          <w:szCs w:val="26"/>
        </w:rPr>
      </w:pPr>
      <w:r>
        <w:rPr>
          <w:noProof/>
          <w:lang w:val="es-ES" w:eastAsia="es-ES"/>
        </w:rPr>
        <w:lastRenderedPageBreak/>
        <w:drawing>
          <wp:inline distT="0" distB="0" distL="0" distR="0" wp14:anchorId="3A11B21F" wp14:editId="7C16A456">
            <wp:extent cx="5314950" cy="371475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Start w:id="33" w:name="_Toc67394584"/>
    </w:p>
    <w:p w:rsidR="00980F76" w:rsidRDefault="006C6CC2" w:rsidP="00EC5ABF">
      <w:pPr>
        <w:pStyle w:val="texto"/>
        <w:spacing w:after="120"/>
      </w:pPr>
      <w:r>
        <w:t xml:space="preserve">En definitiva, la recaudación teórica obtenida aplicando el valor 1 </w:t>
      </w:r>
      <w:proofErr w:type="spellStart"/>
      <w:r>
        <w:t>ó</w:t>
      </w:r>
      <w:proofErr w:type="spellEnd"/>
      <w:r>
        <w:t xml:space="preserve"> 1,65 al coeficiente C</w:t>
      </w:r>
      <w:r w:rsidR="00C504A2">
        <w:t>,</w:t>
      </w:r>
      <w:r>
        <w:t xml:space="preserve"> afecta de manera significativa tanto a la compensación que la ACFN</w:t>
      </w:r>
      <w:r w:rsidR="00092BAF">
        <w:t xml:space="preserve"> realizará a </w:t>
      </w:r>
      <w:proofErr w:type="spellStart"/>
      <w:r w:rsidR="00092BAF">
        <w:t>Audenasa</w:t>
      </w:r>
      <w:proofErr w:type="spellEnd"/>
      <w:r w:rsidR="00C504A2">
        <w:t>,</w:t>
      </w:r>
      <w:r w:rsidR="00092BAF">
        <w:t xml:space="preserve"> como a los principales indicadores económico-financieros de la concesionaria.</w:t>
      </w:r>
      <w:r>
        <w:t xml:space="preserve"> </w:t>
      </w:r>
    </w:p>
    <w:p w:rsidR="00EC5ABF" w:rsidRDefault="00EC5ABF" w:rsidP="00EC5ABF">
      <w:pPr>
        <w:pStyle w:val="texto"/>
        <w:spacing w:after="120"/>
      </w:pPr>
      <w:r>
        <w:t>Los datos presentados se han obtenido bajo e</w:t>
      </w:r>
      <w:r w:rsidR="00092BAF">
        <w:t>l</w:t>
      </w:r>
      <w:r>
        <w:t xml:space="preserve"> supuesto de cumplimiento de las previsiones del PEF. En caso de que se produjeran desviaciones respecto a estas estimaciones, tanto la diferencia en la compensación como el impacto en los indicadores económico-financieros iría en el mismo sentido, por lo que nuestras conclusiones globales no se verían afectadas significativamente.</w:t>
      </w:r>
    </w:p>
    <w:p w:rsidR="00EC5ABF" w:rsidRDefault="00EC5ABF" w:rsidP="00EC5ABF">
      <w:pPr>
        <w:pStyle w:val="texto"/>
        <w:tabs>
          <w:tab w:val="clear" w:pos="2835"/>
          <w:tab w:val="clear" w:pos="3969"/>
          <w:tab w:val="clear" w:pos="5103"/>
          <w:tab w:val="clear" w:pos="6237"/>
          <w:tab w:val="clear" w:pos="7371"/>
          <w:tab w:val="left" w:pos="567"/>
        </w:tabs>
        <w:ind w:firstLine="426"/>
        <w:rPr>
          <w:szCs w:val="26"/>
        </w:rPr>
      </w:pPr>
    </w:p>
    <w:p w:rsidR="00EC5ABF" w:rsidRDefault="00EC5ABF" w:rsidP="00EC5ABF">
      <w:pPr>
        <w:spacing w:after="0"/>
        <w:ind w:firstLine="0"/>
        <w:jc w:val="left"/>
        <w:rPr>
          <w:spacing w:val="6"/>
          <w:sz w:val="26"/>
          <w:szCs w:val="26"/>
        </w:rPr>
      </w:pPr>
      <w:r>
        <w:rPr>
          <w:szCs w:val="26"/>
        </w:rPr>
        <w:br w:type="page"/>
      </w:r>
    </w:p>
    <w:p w:rsidR="006B548F" w:rsidRPr="008F4DF7" w:rsidRDefault="006B548F" w:rsidP="006B548F">
      <w:pPr>
        <w:pStyle w:val="atitulo2"/>
        <w:spacing w:before="240" w:after="120"/>
        <w:rPr>
          <w:bCs w:val="0"/>
          <w:iCs w:val="0"/>
          <w:color w:val="auto"/>
        </w:rPr>
      </w:pPr>
      <w:bookmarkStart w:id="34" w:name="_Toc75089958"/>
      <w:r w:rsidRPr="008F4DF7">
        <w:rPr>
          <w:bCs w:val="0"/>
          <w:iCs w:val="0"/>
          <w:color w:val="auto"/>
        </w:rPr>
        <w:lastRenderedPageBreak/>
        <w:t>IV.</w:t>
      </w:r>
      <w:r w:rsidR="00E5443F" w:rsidRPr="008F4DF7">
        <w:rPr>
          <w:bCs w:val="0"/>
          <w:iCs w:val="0"/>
          <w:color w:val="auto"/>
        </w:rPr>
        <w:t>4</w:t>
      </w:r>
      <w:r w:rsidR="001F3FAF">
        <w:rPr>
          <w:bCs w:val="0"/>
          <w:iCs w:val="0"/>
          <w:color w:val="auto"/>
        </w:rPr>
        <w:t>.</w:t>
      </w:r>
      <w:r w:rsidRPr="008F4DF7">
        <w:rPr>
          <w:bCs w:val="0"/>
          <w:iCs w:val="0"/>
          <w:color w:val="auto"/>
        </w:rPr>
        <w:t xml:space="preserve"> Conclusión final y recomendaciones</w:t>
      </w:r>
      <w:bookmarkEnd w:id="33"/>
      <w:bookmarkEnd w:id="34"/>
    </w:p>
    <w:p w:rsidR="00A35291" w:rsidRDefault="00A35291" w:rsidP="00A35291">
      <w:pPr>
        <w:pStyle w:val="texto"/>
        <w:tabs>
          <w:tab w:val="clear" w:pos="2835"/>
          <w:tab w:val="clear" w:pos="3969"/>
          <w:tab w:val="clear" w:pos="5103"/>
          <w:tab w:val="clear" w:pos="6237"/>
          <w:tab w:val="clear" w:pos="7371"/>
          <w:tab w:val="left" w:pos="567"/>
        </w:tabs>
        <w:rPr>
          <w:szCs w:val="26"/>
        </w:rPr>
      </w:pPr>
      <w:r>
        <w:rPr>
          <w:szCs w:val="26"/>
        </w:rPr>
        <w:t xml:space="preserve">La </w:t>
      </w:r>
      <w:r w:rsidR="00F15344">
        <w:rPr>
          <w:szCs w:val="26"/>
        </w:rPr>
        <w:t>AP</w:t>
      </w:r>
      <w:r>
        <w:rPr>
          <w:szCs w:val="26"/>
        </w:rPr>
        <w:t xml:space="preserve">-15 se construyó por concesión de la Diputación Foral de Navarra siendo </w:t>
      </w:r>
      <w:proofErr w:type="spellStart"/>
      <w:r>
        <w:rPr>
          <w:szCs w:val="26"/>
        </w:rPr>
        <w:t>Audenasa</w:t>
      </w:r>
      <w:proofErr w:type="spellEnd"/>
      <w:r>
        <w:rPr>
          <w:szCs w:val="26"/>
        </w:rPr>
        <w:t xml:space="preserve"> la empresa concesionaria. En el convenio de mayo de 1999 se introdujo una política de descuentos que contemplaba la compensación econ</w:t>
      </w:r>
      <w:r>
        <w:rPr>
          <w:szCs w:val="26"/>
        </w:rPr>
        <w:t>ó</w:t>
      </w:r>
      <w:r>
        <w:rPr>
          <w:szCs w:val="26"/>
        </w:rPr>
        <w:t xml:space="preserve">mica de la ACFN a </w:t>
      </w:r>
      <w:proofErr w:type="spellStart"/>
      <w:r>
        <w:rPr>
          <w:szCs w:val="26"/>
        </w:rPr>
        <w:t>Audenasa</w:t>
      </w:r>
      <w:proofErr w:type="spellEnd"/>
      <w:r>
        <w:rPr>
          <w:szCs w:val="26"/>
        </w:rPr>
        <w:t xml:space="preserve"> mediante una fórmula con </w:t>
      </w:r>
      <w:r w:rsidR="00A05228">
        <w:rPr>
          <w:szCs w:val="26"/>
        </w:rPr>
        <w:t>los objetivos primo</w:t>
      </w:r>
      <w:r w:rsidR="00A05228">
        <w:rPr>
          <w:szCs w:val="26"/>
        </w:rPr>
        <w:t>r</w:t>
      </w:r>
      <w:r w:rsidR="00A05228">
        <w:rPr>
          <w:szCs w:val="26"/>
        </w:rPr>
        <w:t>diales</w:t>
      </w:r>
      <w:r>
        <w:rPr>
          <w:szCs w:val="26"/>
        </w:rPr>
        <w:t xml:space="preserve"> de propiciar el abaratamiento del coste para los usuarios habituales de la autopista, descongesti</w:t>
      </w:r>
      <w:r w:rsidR="00A05228">
        <w:rPr>
          <w:szCs w:val="26"/>
        </w:rPr>
        <w:t>onar</w:t>
      </w:r>
      <w:r>
        <w:rPr>
          <w:szCs w:val="26"/>
        </w:rPr>
        <w:t xml:space="preserve"> determinadas carreteras y </w:t>
      </w:r>
      <w:r w:rsidR="00A05228">
        <w:rPr>
          <w:szCs w:val="26"/>
        </w:rPr>
        <w:t xml:space="preserve">potenciar la captación de vehículos </w:t>
      </w:r>
      <w:r w:rsidR="00CB47C6">
        <w:rPr>
          <w:szCs w:val="26"/>
        </w:rPr>
        <w:t>p</w:t>
      </w:r>
      <w:r w:rsidR="008A7475">
        <w:rPr>
          <w:szCs w:val="26"/>
        </w:rPr>
        <w:t>or la autopista.</w:t>
      </w:r>
    </w:p>
    <w:p w:rsidR="00A05228" w:rsidRDefault="00A05228" w:rsidP="005F62B6">
      <w:pPr>
        <w:pStyle w:val="texto"/>
        <w:tabs>
          <w:tab w:val="clear" w:pos="2835"/>
          <w:tab w:val="clear" w:pos="3969"/>
          <w:tab w:val="clear" w:pos="5103"/>
          <w:tab w:val="clear" w:pos="6237"/>
          <w:tab w:val="clear" w:pos="7371"/>
        </w:tabs>
        <w:rPr>
          <w:szCs w:val="26"/>
        </w:rPr>
      </w:pPr>
      <w:r>
        <w:rPr>
          <w:szCs w:val="26"/>
        </w:rPr>
        <w:t>Esta fórmula se diseñó</w:t>
      </w:r>
      <w:r w:rsidR="009C327F">
        <w:rPr>
          <w:szCs w:val="26"/>
        </w:rPr>
        <w:t xml:space="preserve"> para compensar a la concesionaria</w:t>
      </w:r>
      <w:r>
        <w:rPr>
          <w:szCs w:val="26"/>
        </w:rPr>
        <w:t xml:space="preserve"> </w:t>
      </w:r>
      <w:r w:rsidR="009C327F">
        <w:rPr>
          <w:szCs w:val="26"/>
        </w:rPr>
        <w:t>bajo la perspectiva de que la política de descuentos incrementaría el tráfico</w:t>
      </w:r>
      <w:r w:rsidR="00895612">
        <w:rPr>
          <w:szCs w:val="26"/>
        </w:rPr>
        <w:t>,</w:t>
      </w:r>
      <w:r w:rsidR="009C327F">
        <w:rPr>
          <w:szCs w:val="26"/>
        </w:rPr>
        <w:t xml:space="preserve"> incorporando dos fa</w:t>
      </w:r>
      <w:r w:rsidR="009C327F">
        <w:rPr>
          <w:szCs w:val="26"/>
        </w:rPr>
        <w:t>c</w:t>
      </w:r>
      <w:r w:rsidR="009C327F">
        <w:rPr>
          <w:szCs w:val="26"/>
        </w:rPr>
        <w:t>tores de actualización</w:t>
      </w:r>
      <w:r w:rsidR="00987CDC">
        <w:rPr>
          <w:szCs w:val="26"/>
        </w:rPr>
        <w:t>. E</w:t>
      </w:r>
      <w:r>
        <w:rPr>
          <w:szCs w:val="26"/>
        </w:rPr>
        <w:t>sta fórmula se ha venido aplicando, tal y como estaba establecida, incluso en los años en los que existió disminución del tráfico</w:t>
      </w:r>
      <w:r w:rsidR="00396702">
        <w:rPr>
          <w:szCs w:val="26"/>
        </w:rPr>
        <w:t>,</w:t>
      </w:r>
      <w:r>
        <w:rPr>
          <w:szCs w:val="26"/>
        </w:rPr>
        <w:t xml:space="preserve"> dado que estos </w:t>
      </w:r>
      <w:r w:rsidR="002F5AF1">
        <w:rPr>
          <w:szCs w:val="26"/>
        </w:rPr>
        <w:t>decremento</w:t>
      </w:r>
      <w:r>
        <w:rPr>
          <w:szCs w:val="26"/>
        </w:rPr>
        <w:t xml:space="preserve">s no </w:t>
      </w:r>
      <w:r w:rsidR="00396702">
        <w:rPr>
          <w:szCs w:val="26"/>
        </w:rPr>
        <w:t>se consideraron suficientemente</w:t>
      </w:r>
      <w:r>
        <w:rPr>
          <w:szCs w:val="26"/>
        </w:rPr>
        <w:t xml:space="preserve"> significativos.</w:t>
      </w:r>
    </w:p>
    <w:p w:rsidR="006B548F" w:rsidRDefault="006B548F" w:rsidP="00A05228">
      <w:pPr>
        <w:pStyle w:val="texto"/>
        <w:tabs>
          <w:tab w:val="clear" w:pos="2835"/>
          <w:tab w:val="clear" w:pos="3969"/>
          <w:tab w:val="clear" w:pos="5103"/>
          <w:tab w:val="clear" w:pos="6237"/>
          <w:tab w:val="clear" w:pos="7371"/>
        </w:tabs>
        <w:rPr>
          <w:szCs w:val="26"/>
        </w:rPr>
      </w:pPr>
      <w:r>
        <w:rPr>
          <w:szCs w:val="26"/>
        </w:rPr>
        <w:t xml:space="preserve">En </w:t>
      </w:r>
      <w:r w:rsidR="00A05228">
        <w:rPr>
          <w:szCs w:val="26"/>
        </w:rPr>
        <w:t>2020</w:t>
      </w:r>
      <w:r w:rsidR="00396702">
        <w:rPr>
          <w:szCs w:val="26"/>
        </w:rPr>
        <w:t>,</w:t>
      </w:r>
      <w:r w:rsidR="00A05228">
        <w:rPr>
          <w:szCs w:val="26"/>
        </w:rPr>
        <w:t xml:space="preserve"> la</w:t>
      </w:r>
      <w:r>
        <w:rPr>
          <w:szCs w:val="26"/>
        </w:rPr>
        <w:t xml:space="preserve"> crisis sanitaria </w:t>
      </w:r>
      <w:r w:rsidR="00A05228">
        <w:rPr>
          <w:szCs w:val="26"/>
        </w:rPr>
        <w:t>motivada por la COVID-19</w:t>
      </w:r>
      <w:r w:rsidR="00396702">
        <w:rPr>
          <w:szCs w:val="26"/>
        </w:rPr>
        <w:t>,</w:t>
      </w:r>
      <w:r w:rsidR="00A05228">
        <w:rPr>
          <w:szCs w:val="26"/>
        </w:rPr>
        <w:t xml:space="preserve"> motivó un descenso muy significativo del tráfico</w:t>
      </w:r>
      <w:r w:rsidR="00895612">
        <w:rPr>
          <w:szCs w:val="26"/>
        </w:rPr>
        <w:t xml:space="preserve"> que alcanzó un </w:t>
      </w:r>
      <w:r w:rsidR="00A05228">
        <w:rPr>
          <w:szCs w:val="26"/>
        </w:rPr>
        <w:t>22 por ciento</w:t>
      </w:r>
      <w:r w:rsidR="00987CDC">
        <w:rPr>
          <w:szCs w:val="26"/>
        </w:rPr>
        <w:t xml:space="preserve"> en el conjunto del año</w:t>
      </w:r>
      <w:r w:rsidR="00A05228">
        <w:rPr>
          <w:szCs w:val="26"/>
        </w:rPr>
        <w:t xml:space="preserve">; </w:t>
      </w:r>
      <w:r w:rsidR="002B117C">
        <w:rPr>
          <w:szCs w:val="26"/>
        </w:rPr>
        <w:t>teniendo en cuenta este contexto</w:t>
      </w:r>
      <w:r w:rsidR="00A05228">
        <w:rPr>
          <w:szCs w:val="26"/>
        </w:rPr>
        <w:t xml:space="preserve">, </w:t>
      </w:r>
      <w:proofErr w:type="spellStart"/>
      <w:r w:rsidR="00A05228">
        <w:rPr>
          <w:szCs w:val="26"/>
        </w:rPr>
        <w:t>Audenasa</w:t>
      </w:r>
      <w:proofErr w:type="spellEnd"/>
      <w:r w:rsidR="00A05228">
        <w:rPr>
          <w:szCs w:val="26"/>
        </w:rPr>
        <w:t xml:space="preserve"> presentó una factura aplicando un valor al coeficiente C distinto al </w:t>
      </w:r>
      <w:r w:rsidR="00396702">
        <w:rPr>
          <w:szCs w:val="26"/>
        </w:rPr>
        <w:t>establecido en el convenio según lo acord</w:t>
      </w:r>
      <w:r w:rsidR="00396702">
        <w:rPr>
          <w:szCs w:val="26"/>
        </w:rPr>
        <w:t>a</w:t>
      </w:r>
      <w:r w:rsidR="00396702">
        <w:rPr>
          <w:szCs w:val="26"/>
        </w:rPr>
        <w:t xml:space="preserve">do </w:t>
      </w:r>
      <w:r w:rsidR="00987CDC">
        <w:rPr>
          <w:szCs w:val="26"/>
        </w:rPr>
        <w:t xml:space="preserve">en el Consejo de Administración de la sociedad. </w:t>
      </w:r>
    </w:p>
    <w:p w:rsidR="00F15344" w:rsidRDefault="00F15344" w:rsidP="00BB5387">
      <w:pPr>
        <w:pStyle w:val="texto"/>
        <w:tabs>
          <w:tab w:val="clear" w:pos="2835"/>
          <w:tab w:val="clear" w:pos="3969"/>
          <w:tab w:val="clear" w:pos="5103"/>
          <w:tab w:val="clear" w:pos="6237"/>
          <w:tab w:val="clear" w:pos="7371"/>
        </w:tabs>
        <w:rPr>
          <w:szCs w:val="26"/>
        </w:rPr>
      </w:pPr>
      <w:r>
        <w:rPr>
          <w:szCs w:val="26"/>
        </w:rPr>
        <w:t>Esta Cámara opina que</w:t>
      </w:r>
      <w:r w:rsidR="00CB47C6">
        <w:rPr>
          <w:szCs w:val="26"/>
        </w:rPr>
        <w:t>,</w:t>
      </w:r>
      <w:r>
        <w:rPr>
          <w:szCs w:val="26"/>
        </w:rPr>
        <w:t xml:space="preserve"> el procedimiento seguido </w:t>
      </w:r>
      <w:r w:rsidR="00CB47C6">
        <w:rPr>
          <w:szCs w:val="26"/>
        </w:rPr>
        <w:t>tras la presentación del r</w:t>
      </w:r>
      <w:r w:rsidR="00CB47C6">
        <w:rPr>
          <w:szCs w:val="26"/>
        </w:rPr>
        <w:t>e</w:t>
      </w:r>
      <w:r w:rsidR="00CB47C6">
        <w:rPr>
          <w:szCs w:val="26"/>
        </w:rPr>
        <w:t>curso de alzada, que supuso llevar a cabo una interpretación del contrato, y que aprobaba el abono de la f</w:t>
      </w:r>
      <w:r>
        <w:rPr>
          <w:szCs w:val="26"/>
        </w:rPr>
        <w:t>actura</w:t>
      </w:r>
      <w:r w:rsidR="00BB5387">
        <w:rPr>
          <w:szCs w:val="26"/>
        </w:rPr>
        <w:t xml:space="preserve"> de </w:t>
      </w:r>
      <w:proofErr w:type="spellStart"/>
      <w:r w:rsidR="00BB5387">
        <w:rPr>
          <w:szCs w:val="26"/>
        </w:rPr>
        <w:t>Audenasa</w:t>
      </w:r>
      <w:proofErr w:type="spellEnd"/>
      <w:r>
        <w:rPr>
          <w:szCs w:val="26"/>
        </w:rPr>
        <w:t xml:space="preserve"> de noviembre de 2020</w:t>
      </w:r>
      <w:r w:rsidR="00BB5387">
        <w:rPr>
          <w:szCs w:val="26"/>
        </w:rPr>
        <w:t xml:space="preserve"> </w:t>
      </w:r>
      <w:r w:rsidR="00CB47C6">
        <w:rPr>
          <w:szCs w:val="26"/>
        </w:rPr>
        <w:t>por</w:t>
      </w:r>
      <w:r w:rsidR="00BB5387">
        <w:rPr>
          <w:szCs w:val="26"/>
        </w:rPr>
        <w:t xml:space="preserve"> 6,28 millones</w:t>
      </w:r>
      <w:r w:rsidR="00CB47C6">
        <w:rPr>
          <w:szCs w:val="26"/>
        </w:rPr>
        <w:t>,</w:t>
      </w:r>
      <w:r>
        <w:rPr>
          <w:szCs w:val="26"/>
        </w:rPr>
        <w:t xml:space="preserve"> es conforme a la normativa aplicable, si bien </w:t>
      </w:r>
      <w:r w:rsidR="00895612">
        <w:rPr>
          <w:szCs w:val="26"/>
        </w:rPr>
        <w:t>hubiera sido adecuado que esta interpretación se</w:t>
      </w:r>
      <w:r w:rsidR="00BB5387">
        <w:rPr>
          <w:szCs w:val="26"/>
        </w:rPr>
        <w:t xml:space="preserve"> hubiera</w:t>
      </w:r>
      <w:r w:rsidR="00CB47C6">
        <w:rPr>
          <w:szCs w:val="26"/>
        </w:rPr>
        <w:t xml:space="preserve"> realizado</w:t>
      </w:r>
      <w:r w:rsidR="00895612">
        <w:rPr>
          <w:szCs w:val="26"/>
        </w:rPr>
        <w:t xml:space="preserve"> </w:t>
      </w:r>
      <w:r w:rsidR="00E16110">
        <w:rPr>
          <w:szCs w:val="26"/>
        </w:rPr>
        <w:t>en el momento de</w:t>
      </w:r>
      <w:r w:rsidR="00BB5387">
        <w:rPr>
          <w:szCs w:val="26"/>
        </w:rPr>
        <w:t xml:space="preserve"> la presentación</w:t>
      </w:r>
      <w:r w:rsidR="00895612">
        <w:rPr>
          <w:szCs w:val="26"/>
        </w:rPr>
        <w:t xml:space="preserve"> de la factura en </w:t>
      </w:r>
      <w:r>
        <w:rPr>
          <w:szCs w:val="26"/>
        </w:rPr>
        <w:t>diciembre de 2020</w:t>
      </w:r>
      <w:r w:rsidR="00CB47C6">
        <w:rPr>
          <w:szCs w:val="26"/>
        </w:rPr>
        <w:t>.</w:t>
      </w:r>
    </w:p>
    <w:p w:rsidR="00294F01" w:rsidRDefault="00294F01" w:rsidP="00FD44CE">
      <w:pPr>
        <w:autoSpaceDE w:val="0"/>
        <w:autoSpaceDN w:val="0"/>
        <w:adjustRightInd w:val="0"/>
        <w:spacing w:after="120"/>
        <w:ind w:firstLine="284"/>
        <w:rPr>
          <w:spacing w:val="6"/>
          <w:sz w:val="26"/>
          <w:szCs w:val="26"/>
        </w:rPr>
      </w:pPr>
      <w:r>
        <w:rPr>
          <w:spacing w:val="6"/>
          <w:sz w:val="26"/>
          <w:szCs w:val="26"/>
        </w:rPr>
        <w:t>La interpretación realizada del contrato supone la obtención de una recaud</w:t>
      </w:r>
      <w:r>
        <w:rPr>
          <w:spacing w:val="6"/>
          <w:sz w:val="26"/>
          <w:szCs w:val="26"/>
        </w:rPr>
        <w:t>a</w:t>
      </w:r>
      <w:r>
        <w:rPr>
          <w:spacing w:val="6"/>
          <w:sz w:val="26"/>
          <w:szCs w:val="26"/>
        </w:rPr>
        <w:t xml:space="preserve">ción teórica para 2020 de 38,04 millones frente a una de 31,02 millones que supondría haber seguido aplicando el valor 1,65 al coeficiente C. Este hecho condiciona significativamente la compensación que la ACFN realizará a </w:t>
      </w:r>
      <w:proofErr w:type="spellStart"/>
      <w:r>
        <w:rPr>
          <w:spacing w:val="6"/>
          <w:sz w:val="26"/>
          <w:szCs w:val="26"/>
        </w:rPr>
        <w:t>Aud</w:t>
      </w:r>
      <w:r>
        <w:rPr>
          <w:spacing w:val="6"/>
          <w:sz w:val="26"/>
          <w:szCs w:val="26"/>
        </w:rPr>
        <w:t>e</w:t>
      </w:r>
      <w:r>
        <w:rPr>
          <w:spacing w:val="6"/>
          <w:sz w:val="26"/>
          <w:szCs w:val="26"/>
        </w:rPr>
        <w:t>nasa</w:t>
      </w:r>
      <w:proofErr w:type="spellEnd"/>
      <w:r>
        <w:rPr>
          <w:spacing w:val="6"/>
          <w:sz w:val="26"/>
          <w:szCs w:val="26"/>
        </w:rPr>
        <w:t xml:space="preserve"> en los años que restan hasta el fin de la concesión</w:t>
      </w:r>
      <w:r w:rsidR="0007368E">
        <w:rPr>
          <w:spacing w:val="6"/>
          <w:sz w:val="26"/>
          <w:szCs w:val="26"/>
        </w:rPr>
        <w:t>,</w:t>
      </w:r>
      <w:r>
        <w:rPr>
          <w:spacing w:val="6"/>
          <w:sz w:val="26"/>
          <w:szCs w:val="26"/>
        </w:rPr>
        <w:t xml:space="preserve"> y de igual forma</w:t>
      </w:r>
      <w:r w:rsidR="0007368E">
        <w:rPr>
          <w:spacing w:val="6"/>
          <w:sz w:val="26"/>
          <w:szCs w:val="26"/>
        </w:rPr>
        <w:t>,</w:t>
      </w:r>
      <w:r>
        <w:rPr>
          <w:spacing w:val="6"/>
          <w:sz w:val="26"/>
          <w:szCs w:val="26"/>
        </w:rPr>
        <w:t xml:space="preserve"> afecta a los indicadores económico-financieros de la concesionaria.</w:t>
      </w:r>
    </w:p>
    <w:p w:rsidR="00980F76" w:rsidRDefault="00294F01" w:rsidP="00294F01">
      <w:pPr>
        <w:autoSpaceDE w:val="0"/>
        <w:autoSpaceDN w:val="0"/>
        <w:adjustRightInd w:val="0"/>
        <w:spacing w:after="120"/>
        <w:ind w:firstLine="284"/>
        <w:rPr>
          <w:spacing w:val="6"/>
          <w:sz w:val="26"/>
          <w:szCs w:val="26"/>
        </w:rPr>
      </w:pPr>
      <w:r>
        <w:rPr>
          <w:spacing w:val="6"/>
          <w:sz w:val="26"/>
          <w:szCs w:val="26"/>
        </w:rPr>
        <w:t>En el caso hipotético de que se cumplieran l</w:t>
      </w:r>
      <w:r w:rsidR="00D42068">
        <w:rPr>
          <w:spacing w:val="6"/>
          <w:sz w:val="26"/>
          <w:szCs w:val="26"/>
        </w:rPr>
        <w:t>as previsiones del PEF actual</w:t>
      </w:r>
      <w:r w:rsidR="00D42068">
        <w:rPr>
          <w:spacing w:val="6"/>
          <w:sz w:val="26"/>
          <w:szCs w:val="26"/>
        </w:rPr>
        <w:t>i</w:t>
      </w:r>
      <w:r w:rsidR="00D42068">
        <w:rPr>
          <w:spacing w:val="6"/>
          <w:sz w:val="26"/>
          <w:szCs w:val="26"/>
        </w:rPr>
        <w:t xml:space="preserve">zado a 2020, la compensación estimada de la ACFN a </w:t>
      </w:r>
      <w:proofErr w:type="spellStart"/>
      <w:r w:rsidR="00D42068">
        <w:rPr>
          <w:spacing w:val="6"/>
          <w:sz w:val="26"/>
          <w:szCs w:val="26"/>
        </w:rPr>
        <w:t>Audenasa</w:t>
      </w:r>
      <w:proofErr w:type="spellEnd"/>
      <w:r w:rsidR="00D42068">
        <w:rPr>
          <w:spacing w:val="6"/>
          <w:sz w:val="26"/>
          <w:szCs w:val="26"/>
        </w:rPr>
        <w:t xml:space="preserve"> en el periodo 2020-2029 sería 92,90 millones superior </w:t>
      </w:r>
      <w:r w:rsidR="00C919EA">
        <w:rPr>
          <w:spacing w:val="6"/>
          <w:sz w:val="26"/>
          <w:szCs w:val="26"/>
        </w:rPr>
        <w:t>con la estimación del recurso de alz</w:t>
      </w:r>
      <w:r w:rsidR="00C919EA">
        <w:rPr>
          <w:spacing w:val="6"/>
          <w:sz w:val="26"/>
          <w:szCs w:val="26"/>
        </w:rPr>
        <w:t>a</w:t>
      </w:r>
      <w:r w:rsidR="00C919EA">
        <w:rPr>
          <w:spacing w:val="6"/>
          <w:sz w:val="26"/>
          <w:szCs w:val="26"/>
        </w:rPr>
        <w:t>da que implicaba aplicar e</w:t>
      </w:r>
      <w:r w:rsidR="00D42068">
        <w:rPr>
          <w:spacing w:val="6"/>
          <w:sz w:val="26"/>
          <w:szCs w:val="26"/>
        </w:rPr>
        <w:t>l valor 1 al coeficiente C</w:t>
      </w:r>
      <w:r w:rsidR="00C919EA">
        <w:rPr>
          <w:spacing w:val="6"/>
          <w:sz w:val="26"/>
          <w:szCs w:val="26"/>
        </w:rPr>
        <w:t>,</w:t>
      </w:r>
      <w:r w:rsidR="00D42068">
        <w:rPr>
          <w:spacing w:val="6"/>
          <w:sz w:val="26"/>
          <w:szCs w:val="26"/>
        </w:rPr>
        <w:t xml:space="preserve"> frente a la que resultaría de aplicar el valor 1,65. </w:t>
      </w:r>
    </w:p>
    <w:p w:rsidR="00C919EA" w:rsidRDefault="00D42068" w:rsidP="00294F01">
      <w:pPr>
        <w:autoSpaceDE w:val="0"/>
        <w:autoSpaceDN w:val="0"/>
        <w:adjustRightInd w:val="0"/>
        <w:spacing w:after="120"/>
        <w:ind w:firstLine="284"/>
        <w:rPr>
          <w:spacing w:val="6"/>
          <w:sz w:val="26"/>
          <w:szCs w:val="26"/>
        </w:rPr>
      </w:pPr>
      <w:r>
        <w:rPr>
          <w:spacing w:val="6"/>
          <w:sz w:val="26"/>
          <w:szCs w:val="26"/>
        </w:rPr>
        <w:t xml:space="preserve">Por otra parte, los indicadores económico-financieros de </w:t>
      </w:r>
      <w:proofErr w:type="spellStart"/>
      <w:r>
        <w:rPr>
          <w:spacing w:val="6"/>
          <w:sz w:val="26"/>
          <w:szCs w:val="26"/>
        </w:rPr>
        <w:t>Audenasa</w:t>
      </w:r>
      <w:proofErr w:type="spellEnd"/>
      <w:r>
        <w:rPr>
          <w:spacing w:val="6"/>
          <w:sz w:val="26"/>
          <w:szCs w:val="26"/>
        </w:rPr>
        <w:t xml:space="preserve"> seguirían siendo positivos en todo caso, pero el impacto negativo sobre su equilibrio económico-financiero</w:t>
      </w:r>
      <w:r w:rsidR="00C504A2">
        <w:rPr>
          <w:spacing w:val="6"/>
          <w:sz w:val="26"/>
          <w:szCs w:val="26"/>
        </w:rPr>
        <w:t>,</w:t>
      </w:r>
      <w:r>
        <w:rPr>
          <w:spacing w:val="6"/>
          <w:sz w:val="26"/>
          <w:szCs w:val="26"/>
        </w:rPr>
        <w:t xml:space="preserve"> sería mayor en el caso de haber aplicado el valor 1,65 al coeficiente C</w:t>
      </w:r>
      <w:r w:rsidR="00FD5C9F">
        <w:rPr>
          <w:spacing w:val="6"/>
          <w:sz w:val="26"/>
          <w:szCs w:val="26"/>
        </w:rPr>
        <w:t>,</w:t>
      </w:r>
      <w:r>
        <w:rPr>
          <w:spacing w:val="6"/>
          <w:sz w:val="26"/>
          <w:szCs w:val="26"/>
        </w:rPr>
        <w:t xml:space="preserve"> </w:t>
      </w:r>
      <w:r w:rsidR="00C919EA">
        <w:rPr>
          <w:spacing w:val="6"/>
          <w:sz w:val="26"/>
          <w:szCs w:val="26"/>
        </w:rPr>
        <w:t>respecto</w:t>
      </w:r>
      <w:r>
        <w:rPr>
          <w:spacing w:val="6"/>
          <w:sz w:val="26"/>
          <w:szCs w:val="26"/>
        </w:rPr>
        <w:t xml:space="preserve"> a la opción de utilizar el valor 1; así por ejemplo, el r</w:t>
      </w:r>
      <w:r>
        <w:rPr>
          <w:spacing w:val="6"/>
          <w:sz w:val="26"/>
          <w:szCs w:val="26"/>
        </w:rPr>
        <w:t>e</w:t>
      </w:r>
      <w:r>
        <w:rPr>
          <w:spacing w:val="6"/>
          <w:sz w:val="26"/>
          <w:szCs w:val="26"/>
        </w:rPr>
        <w:t xml:space="preserve">sultado de explotación disminuiría de 481,92 millones a 373,22 con C=1,65 </w:t>
      </w:r>
      <w:r>
        <w:rPr>
          <w:spacing w:val="6"/>
          <w:sz w:val="26"/>
          <w:szCs w:val="26"/>
        </w:rPr>
        <w:lastRenderedPageBreak/>
        <w:t>(bajada del 23 por ciento)</w:t>
      </w:r>
      <w:r w:rsidR="00C919EA">
        <w:rPr>
          <w:spacing w:val="6"/>
          <w:sz w:val="26"/>
          <w:szCs w:val="26"/>
        </w:rPr>
        <w:t>, frente a un decrecimiento del tres por ciento con C=1, donde el resultado de explotación pasaría a ser de 466,31 millone</w:t>
      </w:r>
      <w:r w:rsidR="000C33B0">
        <w:rPr>
          <w:spacing w:val="6"/>
          <w:sz w:val="26"/>
          <w:szCs w:val="26"/>
        </w:rPr>
        <w:t>s, frente al previsto de 481,92. Esta</w:t>
      </w:r>
      <w:r w:rsidR="00980F76">
        <w:rPr>
          <w:spacing w:val="6"/>
          <w:sz w:val="26"/>
          <w:szCs w:val="26"/>
        </w:rPr>
        <w:t>s</w:t>
      </w:r>
      <w:r w:rsidR="000C33B0">
        <w:rPr>
          <w:spacing w:val="6"/>
          <w:sz w:val="26"/>
          <w:szCs w:val="26"/>
        </w:rPr>
        <w:t xml:space="preserve"> circunstancia</w:t>
      </w:r>
      <w:r w:rsidR="00980F76">
        <w:rPr>
          <w:spacing w:val="6"/>
          <w:sz w:val="26"/>
          <w:szCs w:val="26"/>
        </w:rPr>
        <w:t>s</w:t>
      </w:r>
      <w:r w:rsidR="000C33B0">
        <w:rPr>
          <w:spacing w:val="6"/>
          <w:sz w:val="26"/>
          <w:szCs w:val="26"/>
        </w:rPr>
        <w:t xml:space="preserve"> podría</w:t>
      </w:r>
      <w:r w:rsidR="00980F76">
        <w:rPr>
          <w:spacing w:val="6"/>
          <w:sz w:val="26"/>
          <w:szCs w:val="26"/>
        </w:rPr>
        <w:t>n</w:t>
      </w:r>
      <w:r w:rsidR="000C33B0">
        <w:rPr>
          <w:spacing w:val="6"/>
          <w:sz w:val="26"/>
          <w:szCs w:val="26"/>
        </w:rPr>
        <w:t xml:space="preserve"> conllevar en su caso la adopción de medidas por parte de la ACFN y/o </w:t>
      </w:r>
      <w:proofErr w:type="spellStart"/>
      <w:r w:rsidR="000C33B0">
        <w:rPr>
          <w:spacing w:val="6"/>
          <w:sz w:val="26"/>
          <w:szCs w:val="26"/>
        </w:rPr>
        <w:t>Audenasa</w:t>
      </w:r>
      <w:proofErr w:type="spellEnd"/>
      <w:r w:rsidR="000C33B0">
        <w:rPr>
          <w:spacing w:val="6"/>
          <w:sz w:val="26"/>
          <w:szCs w:val="26"/>
        </w:rPr>
        <w:t>.</w:t>
      </w:r>
    </w:p>
    <w:p w:rsidR="006B548F" w:rsidRPr="00BB5387" w:rsidRDefault="006B548F" w:rsidP="006B548F">
      <w:pPr>
        <w:pStyle w:val="texto"/>
        <w:rPr>
          <w:szCs w:val="26"/>
        </w:rPr>
      </w:pPr>
      <w:r w:rsidRPr="00BB5387">
        <w:rPr>
          <w:szCs w:val="26"/>
        </w:rPr>
        <w:t>Teniendo en cuenta las conclusiones alcanzadas en nuestro trabajo recome</w:t>
      </w:r>
      <w:r w:rsidRPr="00BB5387">
        <w:rPr>
          <w:szCs w:val="26"/>
        </w:rPr>
        <w:t>n</w:t>
      </w:r>
      <w:r w:rsidRPr="00BB5387">
        <w:rPr>
          <w:szCs w:val="26"/>
        </w:rPr>
        <w:t>damos:</w:t>
      </w:r>
    </w:p>
    <w:p w:rsidR="00895612" w:rsidRDefault="00A05228" w:rsidP="00895612">
      <w:pPr>
        <w:pStyle w:val="texto"/>
        <w:numPr>
          <w:ilvl w:val="0"/>
          <w:numId w:val="10"/>
        </w:numPr>
        <w:tabs>
          <w:tab w:val="clear" w:pos="2835"/>
          <w:tab w:val="clear" w:pos="3969"/>
          <w:tab w:val="clear" w:pos="5103"/>
          <w:tab w:val="clear" w:pos="6237"/>
          <w:tab w:val="clear" w:pos="7371"/>
          <w:tab w:val="left" w:pos="567"/>
        </w:tabs>
        <w:ind w:left="0" w:firstLine="284"/>
        <w:rPr>
          <w:i/>
          <w:szCs w:val="26"/>
        </w:rPr>
      </w:pPr>
      <w:r w:rsidRPr="005000C8">
        <w:rPr>
          <w:i/>
          <w:szCs w:val="26"/>
        </w:rPr>
        <w:t>Modificar el convenio</w:t>
      </w:r>
      <w:r w:rsidR="00706DEA" w:rsidRPr="005000C8">
        <w:rPr>
          <w:i/>
          <w:szCs w:val="26"/>
        </w:rPr>
        <w:t xml:space="preserve"> </w:t>
      </w:r>
      <w:r w:rsidR="005000C8" w:rsidRPr="005000C8">
        <w:rPr>
          <w:i/>
          <w:szCs w:val="26"/>
        </w:rPr>
        <w:t>para salvar la necesidad de interpretación</w:t>
      </w:r>
      <w:r w:rsidR="000C238B">
        <w:rPr>
          <w:i/>
          <w:szCs w:val="26"/>
        </w:rPr>
        <w:t xml:space="preserve"> del mismo</w:t>
      </w:r>
      <w:r w:rsidR="005000C8" w:rsidRPr="005000C8">
        <w:rPr>
          <w:i/>
          <w:szCs w:val="26"/>
        </w:rPr>
        <w:t xml:space="preserve"> en los supuestos en </w:t>
      </w:r>
      <w:r w:rsidR="000270D7">
        <w:rPr>
          <w:i/>
          <w:szCs w:val="26"/>
        </w:rPr>
        <w:t xml:space="preserve">que concurran </w:t>
      </w:r>
      <w:r w:rsidR="005000C8" w:rsidRPr="005000C8">
        <w:rPr>
          <w:i/>
          <w:szCs w:val="26"/>
        </w:rPr>
        <w:t>circunstancias</w:t>
      </w:r>
      <w:r w:rsidR="000270D7">
        <w:rPr>
          <w:i/>
          <w:szCs w:val="26"/>
        </w:rPr>
        <w:t xml:space="preserve"> extraordinarias</w:t>
      </w:r>
      <w:r w:rsidR="00E16110">
        <w:rPr>
          <w:i/>
          <w:szCs w:val="26"/>
        </w:rPr>
        <w:t xml:space="preserve"> para que la fórmula sea una herramienta apta para su adecuado cumplimiento.</w:t>
      </w:r>
    </w:p>
    <w:p w:rsidR="00BB5387" w:rsidRPr="000C238B" w:rsidRDefault="000C238B" w:rsidP="00895612">
      <w:pPr>
        <w:pStyle w:val="texto"/>
        <w:numPr>
          <w:ilvl w:val="0"/>
          <w:numId w:val="10"/>
        </w:numPr>
        <w:tabs>
          <w:tab w:val="clear" w:pos="2835"/>
          <w:tab w:val="clear" w:pos="3969"/>
          <w:tab w:val="clear" w:pos="5103"/>
          <w:tab w:val="clear" w:pos="6237"/>
          <w:tab w:val="clear" w:pos="7371"/>
          <w:tab w:val="left" w:pos="567"/>
        </w:tabs>
        <w:ind w:left="0" w:firstLine="284"/>
        <w:rPr>
          <w:i/>
          <w:szCs w:val="26"/>
        </w:rPr>
      </w:pPr>
      <w:r>
        <w:rPr>
          <w:i/>
          <w:szCs w:val="26"/>
        </w:rPr>
        <w:t>Realizar un análisis exhaustivo d</w:t>
      </w:r>
      <w:r w:rsidR="00BB5387" w:rsidRPr="000270D7">
        <w:rPr>
          <w:i/>
          <w:szCs w:val="26"/>
        </w:rPr>
        <w:t xml:space="preserve">el impacto </w:t>
      </w:r>
      <w:r w:rsidR="000270D7">
        <w:rPr>
          <w:i/>
          <w:szCs w:val="26"/>
        </w:rPr>
        <w:t>económico</w:t>
      </w:r>
      <w:r>
        <w:rPr>
          <w:i/>
          <w:szCs w:val="26"/>
        </w:rPr>
        <w:t xml:space="preserve"> previamente a la </w:t>
      </w:r>
      <w:r w:rsidRPr="000C238B">
        <w:rPr>
          <w:i/>
          <w:szCs w:val="26"/>
        </w:rPr>
        <w:t>toma de decisiones.</w:t>
      </w:r>
    </w:p>
    <w:p w:rsidR="006B548F" w:rsidRPr="000C238B" w:rsidRDefault="00A05228" w:rsidP="006532FD">
      <w:pPr>
        <w:pStyle w:val="texto"/>
        <w:numPr>
          <w:ilvl w:val="0"/>
          <w:numId w:val="10"/>
        </w:numPr>
        <w:tabs>
          <w:tab w:val="clear" w:pos="2835"/>
          <w:tab w:val="clear" w:pos="3969"/>
          <w:tab w:val="clear" w:pos="5103"/>
          <w:tab w:val="clear" w:pos="6237"/>
          <w:tab w:val="clear" w:pos="7371"/>
          <w:tab w:val="left" w:pos="567"/>
        </w:tabs>
        <w:ind w:left="0" w:firstLine="284"/>
        <w:rPr>
          <w:i/>
          <w:szCs w:val="26"/>
        </w:rPr>
      </w:pPr>
      <w:r w:rsidRPr="000C238B">
        <w:rPr>
          <w:i/>
          <w:szCs w:val="26"/>
        </w:rPr>
        <w:t>Proceder al abono de la factura correspondiente a noviembre de 2020</w:t>
      </w:r>
      <w:r w:rsidR="00706DEA" w:rsidRPr="000C238B">
        <w:rPr>
          <w:i/>
          <w:szCs w:val="26"/>
        </w:rPr>
        <w:t xml:space="preserve"> y siguientes.</w:t>
      </w:r>
    </w:p>
    <w:p w:rsidR="00F33058" w:rsidRDefault="00F33058" w:rsidP="00075FAB">
      <w:pPr>
        <w:pStyle w:val="texto"/>
      </w:pPr>
    </w:p>
    <w:p w:rsidR="00075FAB" w:rsidRDefault="00075FAB" w:rsidP="00075FAB">
      <w:pPr>
        <w:pStyle w:val="texto"/>
      </w:pPr>
      <w:r w:rsidRPr="00F230CF">
        <w:t>Informe que se emite a propuesta de</w:t>
      </w:r>
      <w:r>
        <w:t xml:space="preserve"> </w:t>
      </w:r>
      <w:r w:rsidRPr="00F230CF">
        <w:t>l</w:t>
      </w:r>
      <w:r>
        <w:t>a</w:t>
      </w:r>
      <w:r w:rsidRPr="00F230CF">
        <w:t xml:space="preserve"> </w:t>
      </w:r>
      <w:r w:rsidRPr="002B1330">
        <w:t>auditora</w:t>
      </w:r>
      <w:r w:rsidRPr="00F230CF">
        <w:t xml:space="preserve"> </w:t>
      </w:r>
      <w:r>
        <w:t>Karen Moreno Orduña</w:t>
      </w:r>
      <w:r w:rsidRPr="00F230CF">
        <w:t>, re</w:t>
      </w:r>
      <w:r w:rsidRPr="00F230CF">
        <w:t>s</w:t>
      </w:r>
      <w:r w:rsidRPr="00F230CF">
        <w:t>ponsable de la realización de este trabajo, una vez cumplimentados los trámites previstos por la normativa vigente.</w:t>
      </w:r>
    </w:p>
    <w:p w:rsidR="00075FAB" w:rsidRDefault="00075FAB" w:rsidP="00075FAB">
      <w:pPr>
        <w:pStyle w:val="texto"/>
      </w:pPr>
    </w:p>
    <w:p w:rsidR="00075FAB" w:rsidRPr="003702EC" w:rsidRDefault="00075FAB" w:rsidP="00075FAB">
      <w:pPr>
        <w:tabs>
          <w:tab w:val="center" w:pos="540"/>
          <w:tab w:val="center" w:pos="3969"/>
          <w:tab w:val="center" w:pos="5103"/>
          <w:tab w:val="center" w:pos="6237"/>
          <w:tab w:val="center" w:pos="7371"/>
        </w:tabs>
        <w:spacing w:before="200" w:after="200"/>
        <w:ind w:firstLine="0"/>
        <w:jc w:val="center"/>
        <w:rPr>
          <w:spacing w:val="6"/>
          <w:sz w:val="26"/>
          <w:szCs w:val="24"/>
        </w:rPr>
      </w:pPr>
      <w:r w:rsidRPr="003702EC">
        <w:rPr>
          <w:spacing w:val="6"/>
          <w:sz w:val="26"/>
          <w:szCs w:val="24"/>
        </w:rPr>
        <w:t xml:space="preserve">Pamplona, </w:t>
      </w:r>
      <w:r w:rsidR="00B22711">
        <w:rPr>
          <w:spacing w:val="6"/>
          <w:sz w:val="26"/>
          <w:szCs w:val="24"/>
        </w:rPr>
        <w:t>21</w:t>
      </w:r>
      <w:r>
        <w:rPr>
          <w:spacing w:val="6"/>
          <w:sz w:val="26"/>
          <w:szCs w:val="24"/>
        </w:rPr>
        <w:t xml:space="preserve"> de junio de 2021</w:t>
      </w:r>
    </w:p>
    <w:p w:rsidR="00075FAB" w:rsidRPr="003702EC" w:rsidRDefault="00075FAB" w:rsidP="00075FAB">
      <w:pPr>
        <w:pStyle w:val="texto"/>
        <w:tabs>
          <w:tab w:val="clear" w:pos="2835"/>
          <w:tab w:val="clear" w:pos="3969"/>
          <w:tab w:val="clear" w:pos="5103"/>
          <w:tab w:val="clear" w:pos="6237"/>
          <w:tab w:val="clear" w:pos="7371"/>
        </w:tabs>
        <w:spacing w:after="80"/>
        <w:ind w:firstLine="0"/>
        <w:jc w:val="center"/>
        <w:rPr>
          <w:rFonts w:cs="Arial"/>
          <w:i/>
        </w:rPr>
      </w:pPr>
      <w:r w:rsidRPr="003702EC">
        <w:rPr>
          <w:rFonts w:cs="Arial"/>
        </w:rPr>
        <w:t xml:space="preserve">La </w:t>
      </w:r>
      <w:r>
        <w:rPr>
          <w:rFonts w:cs="Arial"/>
        </w:rPr>
        <w:t>presidenta,</w:t>
      </w:r>
      <w:r w:rsidR="00F33058">
        <w:rPr>
          <w:rFonts w:cs="Arial"/>
        </w:rPr>
        <w:t xml:space="preserve"> </w:t>
      </w:r>
      <w:r>
        <w:rPr>
          <w:rFonts w:cs="Arial"/>
        </w:rPr>
        <w:t>Asunción Olaechea Estanga</w:t>
      </w:r>
    </w:p>
    <w:p w:rsidR="00E16110" w:rsidRPr="00E16110" w:rsidRDefault="00E16110" w:rsidP="00075FAB">
      <w:pPr>
        <w:pStyle w:val="texto"/>
        <w:jc w:val="center"/>
        <w:rPr>
          <w:color w:val="FF0000"/>
          <w:sz w:val="25"/>
          <w:szCs w:val="26"/>
        </w:rPr>
      </w:pPr>
    </w:p>
    <w:sectPr w:rsidR="00E16110" w:rsidRPr="00E16110" w:rsidSect="00F33058">
      <w:footerReference w:type="default" r:id="rId20"/>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EFE" w:rsidRDefault="001A5EFE">
      <w:r>
        <w:separator/>
      </w:r>
    </w:p>
    <w:p w:rsidR="001A5EFE" w:rsidRDefault="001A5EFE"/>
    <w:p w:rsidR="001A5EFE" w:rsidRDefault="001A5EFE"/>
    <w:p w:rsidR="001A5EFE" w:rsidRDefault="001A5EFE"/>
  </w:endnote>
  <w:endnote w:type="continuationSeparator" w:id="0">
    <w:p w:rsidR="001A5EFE" w:rsidRDefault="001A5EFE">
      <w:r>
        <w:continuationSeparator/>
      </w:r>
    </w:p>
    <w:p w:rsidR="001A5EFE" w:rsidRDefault="001A5EFE"/>
    <w:p w:rsidR="001A5EFE" w:rsidRDefault="001A5EFE"/>
    <w:p w:rsidR="001A5EFE" w:rsidRDefault="001A5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jan">
    <w:panose1 w:val="00000000000000000000"/>
    <w:charset w:val="00"/>
    <w:family w:val="roman"/>
    <w:notTrueType/>
    <w:pitch w:val="variable"/>
    <w:sig w:usb0="00000003" w:usb1="00000000" w:usb2="00000000" w:usb3="00000000" w:csb0="00000001" w:csb1="00000000"/>
  </w:font>
  <w:font w:name="GillSans">
    <w:altName w:val="Vrind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EFE" w:rsidRDefault="001A5EFE"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A5EFE" w:rsidRDefault="001A5EFE"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EFE" w:rsidRPr="00F03814" w:rsidRDefault="001A5EFE"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extent cx="219075" cy="371475"/>
          <wp:effectExtent l="0" t="0" r="9525" b="9525"/>
          <wp:docPr id="16" name="Imagen 16"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EFE" w:rsidRDefault="001A5EFE"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EFE" w:rsidRPr="00F03814" w:rsidRDefault="001A5EFE"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1075FF40" wp14:editId="19CE0196">
          <wp:extent cx="219075" cy="371475"/>
          <wp:effectExtent l="0" t="0" r="9525" b="9525"/>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B24FC8">
      <w:rPr>
        <w:rStyle w:val="Nmerodepgina"/>
        <w:noProof/>
        <w:szCs w:val="24"/>
      </w:rPr>
      <w:t>25</w:t>
    </w:r>
    <w:r w:rsidRPr="001D4F09">
      <w:rPr>
        <w:rStyle w:val="Nmerodepgina"/>
        <w:szCs w:val="24"/>
      </w:rPr>
      <w:fldChar w:fldCharType="end"/>
    </w:r>
    <w:r w:rsidRPr="001D4F09">
      <w:rPr>
        <w:rStyle w:val="Nmerodepgina"/>
        <w:szCs w:val="24"/>
      </w:rPr>
      <w:t xml:space="preserve"> -</w:t>
    </w:r>
  </w:p>
  <w:p w:rsidR="001A5EFE" w:rsidRDefault="001A5E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EFE" w:rsidRDefault="001A5EFE" w:rsidP="0049412A">
      <w:pPr>
        <w:ind w:firstLine="0"/>
      </w:pPr>
      <w:r>
        <w:separator/>
      </w:r>
    </w:p>
  </w:footnote>
  <w:footnote w:type="continuationSeparator" w:id="0">
    <w:p w:rsidR="001A5EFE" w:rsidRDefault="001A5EFE">
      <w:r>
        <w:continuationSeparator/>
      </w:r>
    </w:p>
    <w:p w:rsidR="001A5EFE" w:rsidRDefault="001A5EFE"/>
    <w:p w:rsidR="001A5EFE" w:rsidRDefault="001A5EFE"/>
    <w:p w:rsidR="001A5EFE" w:rsidRDefault="001A5EFE"/>
  </w:footnote>
  <w:footnote w:id="1">
    <w:p w:rsidR="001A5EFE" w:rsidRPr="00F11723" w:rsidRDefault="001A5EFE" w:rsidP="00F11723">
      <w:pPr>
        <w:pStyle w:val="Textonotapie"/>
        <w:ind w:firstLine="0"/>
        <w:rPr>
          <w:sz w:val="18"/>
          <w:szCs w:val="18"/>
          <w:lang w:val="es-ES"/>
        </w:rPr>
      </w:pPr>
      <w:r w:rsidRPr="00F11723">
        <w:rPr>
          <w:rStyle w:val="Refdenotaalpie"/>
          <w:sz w:val="18"/>
          <w:szCs w:val="18"/>
        </w:rPr>
        <w:footnoteRef/>
      </w:r>
      <w:r w:rsidRPr="00F11723">
        <w:rPr>
          <w:sz w:val="18"/>
          <w:szCs w:val="18"/>
        </w:rPr>
        <w:t xml:space="preserve"> </w:t>
      </w:r>
      <w:r w:rsidRPr="00F11723">
        <w:rPr>
          <w:color w:val="202124"/>
          <w:sz w:val="18"/>
          <w:szCs w:val="18"/>
          <w:shd w:val="clear" w:color="auto" w:fill="FFFFFF"/>
        </w:rPr>
        <w:t>El </w:t>
      </w:r>
      <w:r w:rsidRPr="00F11723">
        <w:rPr>
          <w:bCs/>
          <w:color w:val="202124"/>
          <w:sz w:val="18"/>
          <w:szCs w:val="18"/>
          <w:shd w:val="clear" w:color="auto" w:fill="FFFFFF"/>
        </w:rPr>
        <w:t>EBITDA</w:t>
      </w:r>
      <w:r w:rsidRPr="00F11723">
        <w:rPr>
          <w:color w:val="202124"/>
          <w:sz w:val="18"/>
          <w:szCs w:val="18"/>
          <w:shd w:val="clear" w:color="auto" w:fill="FFFFFF"/>
        </w:rPr>
        <w:t> (</w:t>
      </w:r>
      <w:proofErr w:type="spellStart"/>
      <w:r w:rsidRPr="00F11723">
        <w:rPr>
          <w:color w:val="202124"/>
          <w:sz w:val="18"/>
          <w:szCs w:val="18"/>
          <w:shd w:val="clear" w:color="auto" w:fill="FFFFFF"/>
        </w:rPr>
        <w:t>Earnings</w:t>
      </w:r>
      <w:proofErr w:type="spellEnd"/>
      <w:r w:rsidRPr="00F11723">
        <w:rPr>
          <w:color w:val="202124"/>
          <w:sz w:val="18"/>
          <w:szCs w:val="18"/>
          <w:shd w:val="clear" w:color="auto" w:fill="FFFFFF"/>
        </w:rPr>
        <w:t xml:space="preserve"> </w:t>
      </w:r>
      <w:proofErr w:type="spellStart"/>
      <w:r w:rsidRPr="00F11723">
        <w:rPr>
          <w:color w:val="202124"/>
          <w:sz w:val="18"/>
          <w:szCs w:val="18"/>
          <w:shd w:val="clear" w:color="auto" w:fill="FFFFFF"/>
        </w:rPr>
        <w:t>Before</w:t>
      </w:r>
      <w:proofErr w:type="spellEnd"/>
      <w:r w:rsidRPr="00F11723">
        <w:rPr>
          <w:color w:val="202124"/>
          <w:sz w:val="18"/>
          <w:szCs w:val="18"/>
          <w:shd w:val="clear" w:color="auto" w:fill="FFFFFF"/>
        </w:rPr>
        <w:t xml:space="preserve"> </w:t>
      </w:r>
      <w:proofErr w:type="spellStart"/>
      <w:r w:rsidRPr="00F11723">
        <w:rPr>
          <w:color w:val="202124"/>
          <w:sz w:val="18"/>
          <w:szCs w:val="18"/>
          <w:shd w:val="clear" w:color="auto" w:fill="FFFFFF"/>
        </w:rPr>
        <w:t>Interests</w:t>
      </w:r>
      <w:proofErr w:type="spellEnd"/>
      <w:r w:rsidRPr="00F11723">
        <w:rPr>
          <w:color w:val="202124"/>
          <w:sz w:val="18"/>
          <w:szCs w:val="18"/>
          <w:shd w:val="clear" w:color="auto" w:fill="FFFFFF"/>
        </w:rPr>
        <w:t xml:space="preserve">, </w:t>
      </w:r>
      <w:proofErr w:type="spellStart"/>
      <w:r w:rsidRPr="00F11723">
        <w:rPr>
          <w:color w:val="202124"/>
          <w:sz w:val="18"/>
          <w:szCs w:val="18"/>
          <w:shd w:val="clear" w:color="auto" w:fill="FFFFFF"/>
        </w:rPr>
        <w:t>Taxes</w:t>
      </w:r>
      <w:proofErr w:type="spellEnd"/>
      <w:r w:rsidRPr="00F11723">
        <w:rPr>
          <w:color w:val="202124"/>
          <w:sz w:val="18"/>
          <w:szCs w:val="18"/>
          <w:shd w:val="clear" w:color="auto" w:fill="FFFFFF"/>
        </w:rPr>
        <w:t xml:space="preserve">, </w:t>
      </w:r>
      <w:proofErr w:type="spellStart"/>
      <w:r w:rsidRPr="00F11723">
        <w:rPr>
          <w:color w:val="202124"/>
          <w:sz w:val="18"/>
          <w:szCs w:val="18"/>
          <w:shd w:val="clear" w:color="auto" w:fill="FFFFFF"/>
        </w:rPr>
        <w:t>Depreciations</w:t>
      </w:r>
      <w:proofErr w:type="spellEnd"/>
      <w:r w:rsidRPr="00F11723">
        <w:rPr>
          <w:color w:val="202124"/>
          <w:sz w:val="18"/>
          <w:szCs w:val="18"/>
          <w:shd w:val="clear" w:color="auto" w:fill="FFFFFF"/>
        </w:rPr>
        <w:t xml:space="preserve"> and </w:t>
      </w:r>
      <w:proofErr w:type="spellStart"/>
      <w:r w:rsidRPr="00F11723">
        <w:rPr>
          <w:color w:val="202124"/>
          <w:sz w:val="18"/>
          <w:szCs w:val="18"/>
          <w:shd w:val="clear" w:color="auto" w:fill="FFFFFF"/>
        </w:rPr>
        <w:t>Amortizations</w:t>
      </w:r>
      <w:proofErr w:type="spellEnd"/>
      <w:r w:rsidRPr="00F11723">
        <w:rPr>
          <w:color w:val="202124"/>
          <w:sz w:val="18"/>
          <w:szCs w:val="18"/>
          <w:shd w:val="clear" w:color="auto" w:fill="FFFFFF"/>
        </w:rPr>
        <w:t xml:space="preserve">) hace referencia a las ganancias antes de intereses, impuestos, </w:t>
      </w:r>
      <w:r>
        <w:rPr>
          <w:color w:val="202124"/>
          <w:sz w:val="18"/>
          <w:szCs w:val="18"/>
          <w:shd w:val="clear" w:color="auto" w:fill="FFFFFF"/>
        </w:rPr>
        <w:t xml:space="preserve">depreciaciones y amortizaciones; se entiende como </w:t>
      </w:r>
      <w:r w:rsidRPr="00F11723">
        <w:rPr>
          <w:color w:val="202124"/>
          <w:sz w:val="18"/>
          <w:szCs w:val="18"/>
          <w:shd w:val="clear" w:color="auto" w:fill="FFFFFF"/>
        </w:rPr>
        <w:t>el beneficio bruto de explotación</w:t>
      </w:r>
      <w:r>
        <w:rPr>
          <w:color w:val="202124"/>
          <w:sz w:val="18"/>
          <w:szCs w:val="18"/>
          <w:shd w:val="clear" w:color="auto" w:fill="FFFFFF"/>
        </w:rPr>
        <w:t>.</w:t>
      </w:r>
    </w:p>
  </w:footnote>
  <w:footnote w:id="2">
    <w:p w:rsidR="001A5EFE" w:rsidRPr="006B242C" w:rsidRDefault="001A5EFE" w:rsidP="006B242C">
      <w:pPr>
        <w:pStyle w:val="Textonotapie"/>
        <w:ind w:firstLine="0"/>
        <w:rPr>
          <w:lang w:val="es-ES"/>
        </w:rPr>
      </w:pPr>
      <w:r>
        <w:rPr>
          <w:rStyle w:val="Refdenotaalpie"/>
        </w:rPr>
        <w:footnoteRef/>
      </w:r>
      <w:r>
        <w:t xml:space="preserve"> Los flujos de efectivo de la ACFN se obtienen de la siguiente forma: recaudación por IVA, IRPF e impue</w:t>
      </w:r>
      <w:r>
        <w:t>s</w:t>
      </w:r>
      <w:r>
        <w:t>to de sociedades + reducción de capital + dividendos año – compensación por descuentos.</w:t>
      </w:r>
    </w:p>
  </w:footnote>
  <w:footnote w:id="3">
    <w:p w:rsidR="001A5EFE" w:rsidRPr="001D24F3" w:rsidRDefault="001A5EFE" w:rsidP="001D24F3">
      <w:pPr>
        <w:pStyle w:val="Textonotapie"/>
        <w:ind w:firstLine="0"/>
        <w:rPr>
          <w:lang w:val="es-ES"/>
        </w:rPr>
      </w:pPr>
      <w:r>
        <w:rPr>
          <w:rStyle w:val="Refdenotaalpie"/>
        </w:rPr>
        <w:footnoteRef/>
      </w:r>
      <w:r>
        <w:t xml:space="preserve"> </w:t>
      </w:r>
      <w:r>
        <w:rPr>
          <w:lang w:val="es-ES"/>
        </w:rPr>
        <w:t>El PEF se actualiza sin obtener los datos en euros constantes (salvo en el caso de las inversiones de repos</w:t>
      </w:r>
      <w:r>
        <w:rPr>
          <w:lang w:val="es-ES"/>
        </w:rPr>
        <w:t>i</w:t>
      </w:r>
      <w:r>
        <w:rPr>
          <w:lang w:val="es-ES"/>
        </w:rPr>
        <w:t>ción) ya que se entiende suficiente la incorporación del IPC para valorar los distintos indicadores económico-financieros.</w:t>
      </w:r>
    </w:p>
  </w:footnote>
  <w:footnote w:id="4">
    <w:p w:rsidR="001A5EFE" w:rsidRDefault="001A5EFE" w:rsidP="0032144D">
      <w:pPr>
        <w:pStyle w:val="Textonotapie"/>
        <w:ind w:firstLine="0"/>
      </w:pPr>
      <w:r>
        <w:rPr>
          <w:rStyle w:val="Refdenotaalpie"/>
        </w:rPr>
        <w:footnoteRef/>
      </w:r>
      <w:r>
        <w:t xml:space="preserve"> El 20 de abril de 2021 el Parlamento solicitó un dictamen al Consejo de Navarra sobre la legalidad del Acuerdo adoptado por el Gobierno el 24 de febrero de 2021 en relación con el recurso de alzada interpuesto por </w:t>
      </w:r>
      <w:proofErr w:type="spellStart"/>
      <w:r>
        <w:t>Audenasa</w:t>
      </w:r>
      <w:proofErr w:type="spellEnd"/>
      <w:r>
        <w:t xml:space="preserve"> contra la Orden Foral 41E/2020 y las consecuencias y trámites a seguir en caso de inadecu</w:t>
      </w:r>
      <w:r>
        <w:t>a</w:t>
      </w:r>
      <w:r>
        <w:t>ción a la legalidad.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EFE" w:rsidRDefault="001A5EFE" w:rsidP="007C36BE">
    <w:pPr>
      <w:pStyle w:val="Encabezado"/>
      <w:pBdr>
        <w:bottom w:val="single" w:sz="4" w:space="1" w:color="auto"/>
      </w:pBdr>
      <w:spacing w:after="40"/>
      <w:ind w:firstLine="0"/>
      <w:jc w:val="left"/>
      <w:rPr>
        <w:lang w:val="es-ES"/>
      </w:rPr>
    </w:pPr>
    <w:r>
      <w:rPr>
        <w:b/>
        <w:noProof/>
        <w:lang w:val="es-ES" w:eastAsia="es-ES"/>
      </w:rPr>
      <w:drawing>
        <wp:inline distT="0" distB="0" distL="0" distR="0">
          <wp:extent cx="771525" cy="762000"/>
          <wp:effectExtent l="0" t="0" r="9525" b="0"/>
          <wp:docPr id="15" name="Imagen 15"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1A5EFE" w:rsidRPr="0059650E" w:rsidRDefault="001A5EFE" w:rsidP="002C3685">
    <w:pPr>
      <w:pStyle w:val="Encabezado"/>
      <w:pBdr>
        <w:bottom w:val="single" w:sz="4" w:space="1" w:color="auto"/>
      </w:pBdr>
      <w:ind w:firstLine="0"/>
      <w:rPr>
        <w:lang w:val="es-ES"/>
      </w:rPr>
    </w:pPr>
    <w:r>
      <w:rPr>
        <w:lang w:val="es-ES"/>
      </w:rPr>
      <w:t xml:space="preserve">informe </w:t>
    </w:r>
    <w:r w:rsidR="00C20C16">
      <w:rPr>
        <w:lang w:val="es-ES"/>
      </w:rPr>
      <w:t xml:space="preserve">de fiscalización sobre </w:t>
    </w:r>
    <w:r>
      <w:rPr>
        <w:lang w:val="es-ES"/>
      </w:rPr>
      <w:t>COMPENSACIÓN DESCUENTOS PEAJES AUDENASA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EFE" w:rsidRDefault="001A5EFE" w:rsidP="006A2D41">
    <w:pPr>
      <w:pStyle w:val="Encabezado"/>
      <w:ind w:firstLine="0"/>
      <w:jc w:val="left"/>
    </w:pPr>
    <w:r>
      <w:rPr>
        <w:noProof/>
        <w:lang w:val="es-ES" w:eastAsia="es-ES"/>
      </w:rPr>
      <w:drawing>
        <wp:inline distT="0" distB="0" distL="0" distR="0">
          <wp:extent cx="771525" cy="762000"/>
          <wp:effectExtent l="0" t="0" r="9525" b="0"/>
          <wp:docPr id="17" name="Imagen 17"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2">
    <w:nsid w:val="038A6561"/>
    <w:multiLevelType w:val="hybridMultilevel"/>
    <w:tmpl w:val="5DA62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A74228E"/>
    <w:multiLevelType w:val="hybridMultilevel"/>
    <w:tmpl w:val="AC5A68DA"/>
    <w:lvl w:ilvl="0" w:tplc="0C0A0001">
      <w:start w:val="1"/>
      <w:numFmt w:val="bullet"/>
      <w:lvlText w:val=""/>
      <w:lvlJc w:val="left"/>
      <w:pPr>
        <w:ind w:left="1004" w:hanging="360"/>
      </w:pPr>
      <w:rPr>
        <w:rFonts w:ascii="Symbol" w:hAnsi="Symbol" w:hint="default"/>
      </w:rPr>
    </w:lvl>
    <w:lvl w:ilvl="1" w:tplc="0C0A0001">
      <w:start w:val="1"/>
      <w:numFmt w:val="bullet"/>
      <w:lvlText w:val=""/>
      <w:lvlJc w:val="left"/>
      <w:pPr>
        <w:ind w:left="1724" w:hanging="360"/>
      </w:pPr>
      <w:rPr>
        <w:rFonts w:ascii="Symbol" w:hAnsi="Symbol" w:hint="default"/>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5">
    <w:nsid w:val="199117F5"/>
    <w:multiLevelType w:val="hybridMultilevel"/>
    <w:tmpl w:val="01E4C0D0"/>
    <w:lvl w:ilvl="0" w:tplc="0C0A0001">
      <w:start w:val="1"/>
      <w:numFmt w:val="bullet"/>
      <w:lvlText w:val=""/>
      <w:lvlJc w:val="left"/>
      <w:pPr>
        <w:ind w:left="1004" w:hanging="360"/>
      </w:pPr>
      <w:rPr>
        <w:rFonts w:ascii="Symbol" w:hAnsi="Symbol"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nsid w:val="1C341D8A"/>
    <w:multiLevelType w:val="hybridMultilevel"/>
    <w:tmpl w:val="C7BCF734"/>
    <w:lvl w:ilvl="0" w:tplc="0C0A0017">
      <w:start w:val="1"/>
      <w:numFmt w:val="lowerLetter"/>
      <w:lvlText w:val="%1)"/>
      <w:lvlJc w:val="left"/>
      <w:pPr>
        <w:ind w:left="1004" w:hanging="360"/>
      </w:pPr>
      <w:rPr>
        <w:rFonts w:hint="default"/>
      </w:rPr>
    </w:lvl>
    <w:lvl w:ilvl="1" w:tplc="0C0A0017">
      <w:start w:val="1"/>
      <w:numFmt w:val="lowerLetter"/>
      <w:lvlText w:val="%2)"/>
      <w:lvlJc w:val="left"/>
      <w:pPr>
        <w:ind w:left="1724" w:hanging="360"/>
      </w:pPr>
      <w:rPr>
        <w:rFonts w:hint="default"/>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
    <w:nsid w:val="1E403E93"/>
    <w:multiLevelType w:val="hybridMultilevel"/>
    <w:tmpl w:val="996AE5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F6353A"/>
    <w:multiLevelType w:val="hybridMultilevel"/>
    <w:tmpl w:val="E89682B4"/>
    <w:lvl w:ilvl="0" w:tplc="0C0A0017">
      <w:start w:val="1"/>
      <w:numFmt w:val="lowerLetter"/>
      <w:lvlText w:val="%1)"/>
      <w:lvlJc w:val="left"/>
      <w:pPr>
        <w:ind w:left="1004" w:hanging="360"/>
      </w:pPr>
      <w:rPr>
        <w:rFont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268B6F22"/>
    <w:multiLevelType w:val="hybridMultilevel"/>
    <w:tmpl w:val="83AE38DA"/>
    <w:lvl w:ilvl="0" w:tplc="89B45918">
      <w:start w:val="1"/>
      <w:numFmt w:val="bullet"/>
      <w:lvlText w:val=""/>
      <w:lvlJc w:val="left"/>
      <w:pPr>
        <w:ind w:left="1004" w:hanging="360"/>
      </w:pPr>
      <w:rPr>
        <w:rFonts w:ascii="Symbol" w:hAnsi="Symbol" w:hint="default"/>
        <w:color w:val="auto"/>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0">
    <w:nsid w:val="3357516C"/>
    <w:multiLevelType w:val="hybridMultilevel"/>
    <w:tmpl w:val="41BA0B38"/>
    <w:lvl w:ilvl="0" w:tplc="424A8CBC">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1645C11"/>
    <w:multiLevelType w:val="hybridMultilevel"/>
    <w:tmpl w:val="98F46C0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nsid w:val="43E56E2C"/>
    <w:multiLevelType w:val="hybridMultilevel"/>
    <w:tmpl w:val="B882E752"/>
    <w:lvl w:ilvl="0" w:tplc="0C0A0017">
      <w:start w:val="1"/>
      <w:numFmt w:val="lowerLetter"/>
      <w:lvlText w:val="%1)"/>
      <w:lvlJc w:val="left"/>
      <w:pPr>
        <w:ind w:left="1004" w:hanging="360"/>
      </w:pPr>
      <w:rPr>
        <w:rFonts w:hint="default"/>
      </w:rPr>
    </w:lvl>
    <w:lvl w:ilvl="1" w:tplc="0C0A0001">
      <w:start w:val="1"/>
      <w:numFmt w:val="bullet"/>
      <w:lvlText w:val=""/>
      <w:lvlJc w:val="left"/>
      <w:pPr>
        <w:ind w:left="1724" w:hanging="360"/>
      </w:pPr>
      <w:rPr>
        <w:rFonts w:ascii="Symbol" w:hAnsi="Symbol" w:hint="default"/>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3">
    <w:nsid w:val="44B75C03"/>
    <w:multiLevelType w:val="hybridMultilevel"/>
    <w:tmpl w:val="63BA2F8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47BB12E1"/>
    <w:multiLevelType w:val="hybridMultilevel"/>
    <w:tmpl w:val="7ECA962E"/>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8AB0003"/>
    <w:multiLevelType w:val="hybridMultilevel"/>
    <w:tmpl w:val="7ECA962E"/>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EAB4891"/>
    <w:multiLevelType w:val="hybridMultilevel"/>
    <w:tmpl w:val="280CE2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19C66C4"/>
    <w:multiLevelType w:val="hybridMultilevel"/>
    <w:tmpl w:val="72E2D608"/>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20">
    <w:nsid w:val="6ADE110F"/>
    <w:multiLevelType w:val="hybridMultilevel"/>
    <w:tmpl w:val="3E0A98CA"/>
    <w:lvl w:ilvl="0" w:tplc="0C0A0017">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1">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nsid w:val="6E6E3B02"/>
    <w:multiLevelType w:val="hybridMultilevel"/>
    <w:tmpl w:val="A09AD3BE"/>
    <w:lvl w:ilvl="0" w:tplc="0C0A0001">
      <w:start w:val="1"/>
      <w:numFmt w:val="bullet"/>
      <w:lvlText w:val=""/>
      <w:lvlJc w:val="left"/>
      <w:pPr>
        <w:ind w:left="1065" w:hanging="360"/>
      </w:pPr>
      <w:rPr>
        <w:rFonts w:ascii="Symbol" w:hAnsi="Symbo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3">
    <w:nsid w:val="6FFF4D88"/>
    <w:multiLevelType w:val="hybridMultilevel"/>
    <w:tmpl w:val="55FE667A"/>
    <w:lvl w:ilvl="0" w:tplc="0C0A0017">
      <w:start w:val="1"/>
      <w:numFmt w:val="lowerLetter"/>
      <w:lvlText w:val="%1)"/>
      <w:lvlJc w:val="left"/>
      <w:pPr>
        <w:ind w:left="1004" w:hanging="360"/>
      </w:pPr>
      <w:rPr>
        <w:rFont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25">
    <w:nsid w:val="7F3E3184"/>
    <w:multiLevelType w:val="hybridMultilevel"/>
    <w:tmpl w:val="280CE2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4"/>
  </w:num>
  <w:num w:numId="2">
    <w:abstractNumId w:val="19"/>
  </w:num>
  <w:num w:numId="3">
    <w:abstractNumId w:val="4"/>
  </w:num>
  <w:num w:numId="4">
    <w:abstractNumId w:val="14"/>
  </w:num>
  <w:num w:numId="5">
    <w:abstractNumId w:val="21"/>
  </w:num>
  <w:num w:numId="6">
    <w:abstractNumId w:val="4"/>
  </w:num>
  <w:num w:numId="7">
    <w:abstractNumId w:val="4"/>
  </w:num>
  <w:num w:numId="8">
    <w:abstractNumId w:val="4"/>
  </w:num>
  <w:num w:numId="9">
    <w:abstractNumId w:val="1"/>
  </w:num>
  <w:num w:numId="10">
    <w:abstractNumId w:val="5"/>
  </w:num>
  <w:num w:numId="11">
    <w:abstractNumId w:val="3"/>
  </w:num>
  <w:num w:numId="12">
    <w:abstractNumId w:val="6"/>
  </w:num>
  <w:num w:numId="13">
    <w:abstractNumId w:val="10"/>
  </w:num>
  <w:num w:numId="14">
    <w:abstractNumId w:val="9"/>
  </w:num>
  <w:num w:numId="15">
    <w:abstractNumId w:val="22"/>
  </w:num>
  <w:num w:numId="16">
    <w:abstractNumId w:val="17"/>
  </w:num>
  <w:num w:numId="17">
    <w:abstractNumId w:val="16"/>
  </w:num>
  <w:num w:numId="18">
    <w:abstractNumId w:val="20"/>
  </w:num>
  <w:num w:numId="19">
    <w:abstractNumId w:val="12"/>
  </w:num>
  <w:num w:numId="20">
    <w:abstractNumId w:val="18"/>
  </w:num>
  <w:num w:numId="21">
    <w:abstractNumId w:val="2"/>
  </w:num>
  <w:num w:numId="22">
    <w:abstractNumId w:val="7"/>
  </w:num>
  <w:num w:numId="23">
    <w:abstractNumId w:val="25"/>
  </w:num>
  <w:num w:numId="24">
    <w:abstractNumId w:val="15"/>
  </w:num>
  <w:num w:numId="25">
    <w:abstractNumId w:val="11"/>
  </w:num>
  <w:num w:numId="26">
    <w:abstractNumId w:val="8"/>
  </w:num>
  <w:num w:numId="27">
    <w:abstractNumId w:val="23"/>
  </w:num>
  <w:num w:numId="28">
    <w:abstractNumId w:val="13"/>
  </w:num>
  <w:num w:numId="29">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32E"/>
    <w:rsid w:val="00000991"/>
    <w:rsid w:val="00000CD6"/>
    <w:rsid w:val="000019D8"/>
    <w:rsid w:val="0000205E"/>
    <w:rsid w:val="00006736"/>
    <w:rsid w:val="00006A97"/>
    <w:rsid w:val="00007028"/>
    <w:rsid w:val="0001123B"/>
    <w:rsid w:val="00012A7F"/>
    <w:rsid w:val="00017A3A"/>
    <w:rsid w:val="00022658"/>
    <w:rsid w:val="000270D7"/>
    <w:rsid w:val="0003572F"/>
    <w:rsid w:val="00035B43"/>
    <w:rsid w:val="00036E42"/>
    <w:rsid w:val="00040D64"/>
    <w:rsid w:val="0004134F"/>
    <w:rsid w:val="0004373B"/>
    <w:rsid w:val="000448FA"/>
    <w:rsid w:val="00053A42"/>
    <w:rsid w:val="0005517D"/>
    <w:rsid w:val="0006133D"/>
    <w:rsid w:val="00063585"/>
    <w:rsid w:val="000669AC"/>
    <w:rsid w:val="00071CD0"/>
    <w:rsid w:val="00073517"/>
    <w:rsid w:val="0007368E"/>
    <w:rsid w:val="000746EA"/>
    <w:rsid w:val="00075692"/>
    <w:rsid w:val="00075FAB"/>
    <w:rsid w:val="000849DA"/>
    <w:rsid w:val="00087B8D"/>
    <w:rsid w:val="00092BAF"/>
    <w:rsid w:val="00093D67"/>
    <w:rsid w:val="00093E60"/>
    <w:rsid w:val="000949A3"/>
    <w:rsid w:val="000A18B7"/>
    <w:rsid w:val="000A2C1E"/>
    <w:rsid w:val="000A4697"/>
    <w:rsid w:val="000A54AC"/>
    <w:rsid w:val="000B2728"/>
    <w:rsid w:val="000B3943"/>
    <w:rsid w:val="000B4477"/>
    <w:rsid w:val="000C0704"/>
    <w:rsid w:val="000C238B"/>
    <w:rsid w:val="000C2B07"/>
    <w:rsid w:val="000C33B0"/>
    <w:rsid w:val="000C39CC"/>
    <w:rsid w:val="000C7566"/>
    <w:rsid w:val="000D188E"/>
    <w:rsid w:val="000D5335"/>
    <w:rsid w:val="000E7B86"/>
    <w:rsid w:val="000F2B66"/>
    <w:rsid w:val="000F3D83"/>
    <w:rsid w:val="00100F12"/>
    <w:rsid w:val="00103589"/>
    <w:rsid w:val="001045C9"/>
    <w:rsid w:val="00107CC1"/>
    <w:rsid w:val="0011162B"/>
    <w:rsid w:val="00111A92"/>
    <w:rsid w:val="00112459"/>
    <w:rsid w:val="00114310"/>
    <w:rsid w:val="001145C3"/>
    <w:rsid w:val="00115431"/>
    <w:rsid w:val="001161D2"/>
    <w:rsid w:val="00127A8E"/>
    <w:rsid w:val="0013027E"/>
    <w:rsid w:val="00131DF1"/>
    <w:rsid w:val="00132C38"/>
    <w:rsid w:val="00133235"/>
    <w:rsid w:val="00133984"/>
    <w:rsid w:val="001365C4"/>
    <w:rsid w:val="00140FC4"/>
    <w:rsid w:val="0014147D"/>
    <w:rsid w:val="00141D29"/>
    <w:rsid w:val="0014506A"/>
    <w:rsid w:val="0014728F"/>
    <w:rsid w:val="00147490"/>
    <w:rsid w:val="001521A2"/>
    <w:rsid w:val="00152358"/>
    <w:rsid w:val="00155BFF"/>
    <w:rsid w:val="00160F66"/>
    <w:rsid w:val="001633AF"/>
    <w:rsid w:val="00164FEC"/>
    <w:rsid w:val="00166A6C"/>
    <w:rsid w:val="001728D0"/>
    <w:rsid w:val="00173EDD"/>
    <w:rsid w:val="0017402B"/>
    <w:rsid w:val="00181D37"/>
    <w:rsid w:val="001835B7"/>
    <w:rsid w:val="0018426B"/>
    <w:rsid w:val="00185A37"/>
    <w:rsid w:val="00194309"/>
    <w:rsid w:val="0019660E"/>
    <w:rsid w:val="001A4620"/>
    <w:rsid w:val="001A5EFE"/>
    <w:rsid w:val="001B054E"/>
    <w:rsid w:val="001B39E2"/>
    <w:rsid w:val="001C2B26"/>
    <w:rsid w:val="001C3A32"/>
    <w:rsid w:val="001D24F3"/>
    <w:rsid w:val="001D4F09"/>
    <w:rsid w:val="001D6078"/>
    <w:rsid w:val="001E0949"/>
    <w:rsid w:val="001E2157"/>
    <w:rsid w:val="001E398A"/>
    <w:rsid w:val="001F12FF"/>
    <w:rsid w:val="001F1482"/>
    <w:rsid w:val="001F20D7"/>
    <w:rsid w:val="001F3FAF"/>
    <w:rsid w:val="001F7744"/>
    <w:rsid w:val="00200914"/>
    <w:rsid w:val="002014EB"/>
    <w:rsid w:val="00202542"/>
    <w:rsid w:val="00202B1A"/>
    <w:rsid w:val="00202BCF"/>
    <w:rsid w:val="002032B0"/>
    <w:rsid w:val="00204979"/>
    <w:rsid w:val="0020668F"/>
    <w:rsid w:val="002079C1"/>
    <w:rsid w:val="00211D69"/>
    <w:rsid w:val="00213878"/>
    <w:rsid w:val="002179DB"/>
    <w:rsid w:val="00217C19"/>
    <w:rsid w:val="00227E48"/>
    <w:rsid w:val="002301DE"/>
    <w:rsid w:val="00230577"/>
    <w:rsid w:val="0023159D"/>
    <w:rsid w:val="0023209D"/>
    <w:rsid w:val="002333F8"/>
    <w:rsid w:val="00233D79"/>
    <w:rsid w:val="00237657"/>
    <w:rsid w:val="002408EB"/>
    <w:rsid w:val="00242BA7"/>
    <w:rsid w:val="002437B5"/>
    <w:rsid w:val="00244EF1"/>
    <w:rsid w:val="00244EFC"/>
    <w:rsid w:val="00246F21"/>
    <w:rsid w:val="0025028B"/>
    <w:rsid w:val="00253E78"/>
    <w:rsid w:val="00255780"/>
    <w:rsid w:val="00255A30"/>
    <w:rsid w:val="00262C3C"/>
    <w:rsid w:val="00264C88"/>
    <w:rsid w:val="0026532C"/>
    <w:rsid w:val="0026575D"/>
    <w:rsid w:val="002705B0"/>
    <w:rsid w:val="002717A6"/>
    <w:rsid w:val="00272015"/>
    <w:rsid w:val="00272A4C"/>
    <w:rsid w:val="00273C10"/>
    <w:rsid w:val="00274B4C"/>
    <w:rsid w:val="00275577"/>
    <w:rsid w:val="00276264"/>
    <w:rsid w:val="00281AA9"/>
    <w:rsid w:val="00281DCA"/>
    <w:rsid w:val="00293183"/>
    <w:rsid w:val="00294F01"/>
    <w:rsid w:val="00297B04"/>
    <w:rsid w:val="002A056C"/>
    <w:rsid w:val="002A0C45"/>
    <w:rsid w:val="002A2EFF"/>
    <w:rsid w:val="002A66A5"/>
    <w:rsid w:val="002A6EBB"/>
    <w:rsid w:val="002B117C"/>
    <w:rsid w:val="002B21E9"/>
    <w:rsid w:val="002B2B87"/>
    <w:rsid w:val="002B2F5D"/>
    <w:rsid w:val="002B3D14"/>
    <w:rsid w:val="002B4E0F"/>
    <w:rsid w:val="002B5754"/>
    <w:rsid w:val="002C3685"/>
    <w:rsid w:val="002C7026"/>
    <w:rsid w:val="002C7635"/>
    <w:rsid w:val="002C7E08"/>
    <w:rsid w:val="002D089F"/>
    <w:rsid w:val="002D5635"/>
    <w:rsid w:val="002D65E8"/>
    <w:rsid w:val="002D68BD"/>
    <w:rsid w:val="002D7D32"/>
    <w:rsid w:val="002E02E5"/>
    <w:rsid w:val="002E0478"/>
    <w:rsid w:val="002E0791"/>
    <w:rsid w:val="002E1B92"/>
    <w:rsid w:val="002E6C2D"/>
    <w:rsid w:val="002E7B81"/>
    <w:rsid w:val="002F09FB"/>
    <w:rsid w:val="002F0EDE"/>
    <w:rsid w:val="002F0FE3"/>
    <w:rsid w:val="002F1AF0"/>
    <w:rsid w:val="002F1F60"/>
    <w:rsid w:val="002F2530"/>
    <w:rsid w:val="002F272A"/>
    <w:rsid w:val="002F2BC3"/>
    <w:rsid w:val="002F3225"/>
    <w:rsid w:val="002F53B4"/>
    <w:rsid w:val="002F5AF1"/>
    <w:rsid w:val="002F76D6"/>
    <w:rsid w:val="00303506"/>
    <w:rsid w:val="00307057"/>
    <w:rsid w:val="00312819"/>
    <w:rsid w:val="00312E9C"/>
    <w:rsid w:val="00313875"/>
    <w:rsid w:val="003203BF"/>
    <w:rsid w:val="00321369"/>
    <w:rsid w:val="0032144D"/>
    <w:rsid w:val="00330787"/>
    <w:rsid w:val="00337493"/>
    <w:rsid w:val="0034285F"/>
    <w:rsid w:val="003436DA"/>
    <w:rsid w:val="003464A4"/>
    <w:rsid w:val="00351684"/>
    <w:rsid w:val="00353EFB"/>
    <w:rsid w:val="00354458"/>
    <w:rsid w:val="00363653"/>
    <w:rsid w:val="0036509D"/>
    <w:rsid w:val="003719F7"/>
    <w:rsid w:val="0037228C"/>
    <w:rsid w:val="003738FD"/>
    <w:rsid w:val="00377ECD"/>
    <w:rsid w:val="003810BE"/>
    <w:rsid w:val="003810F9"/>
    <w:rsid w:val="00386F6C"/>
    <w:rsid w:val="00387709"/>
    <w:rsid w:val="00387794"/>
    <w:rsid w:val="00396702"/>
    <w:rsid w:val="00397162"/>
    <w:rsid w:val="003A16AF"/>
    <w:rsid w:val="003A335E"/>
    <w:rsid w:val="003A3C8E"/>
    <w:rsid w:val="003A3DD2"/>
    <w:rsid w:val="003A4853"/>
    <w:rsid w:val="003A53DB"/>
    <w:rsid w:val="003A667D"/>
    <w:rsid w:val="003B3573"/>
    <w:rsid w:val="003B5813"/>
    <w:rsid w:val="003C03EA"/>
    <w:rsid w:val="003C196B"/>
    <w:rsid w:val="003C4FEE"/>
    <w:rsid w:val="003C6E1D"/>
    <w:rsid w:val="003D058C"/>
    <w:rsid w:val="003D76B1"/>
    <w:rsid w:val="003E17A6"/>
    <w:rsid w:val="003E4AA5"/>
    <w:rsid w:val="003F14A4"/>
    <w:rsid w:val="003F1CEC"/>
    <w:rsid w:val="003F299B"/>
    <w:rsid w:val="003F43BF"/>
    <w:rsid w:val="003F6BE4"/>
    <w:rsid w:val="00403CF8"/>
    <w:rsid w:val="0040531F"/>
    <w:rsid w:val="00406CC7"/>
    <w:rsid w:val="00407459"/>
    <w:rsid w:val="00413E96"/>
    <w:rsid w:val="00414D01"/>
    <w:rsid w:val="004170FE"/>
    <w:rsid w:val="004209E6"/>
    <w:rsid w:val="0042324B"/>
    <w:rsid w:val="004234E8"/>
    <w:rsid w:val="00426805"/>
    <w:rsid w:val="00430150"/>
    <w:rsid w:val="004302F9"/>
    <w:rsid w:val="0043229B"/>
    <w:rsid w:val="00434D41"/>
    <w:rsid w:val="00435287"/>
    <w:rsid w:val="00440A22"/>
    <w:rsid w:val="0045550E"/>
    <w:rsid w:val="00456456"/>
    <w:rsid w:val="00457EFA"/>
    <w:rsid w:val="00462367"/>
    <w:rsid w:val="00463954"/>
    <w:rsid w:val="0046490C"/>
    <w:rsid w:val="00470287"/>
    <w:rsid w:val="00470733"/>
    <w:rsid w:val="004712F3"/>
    <w:rsid w:val="004768F5"/>
    <w:rsid w:val="00477C53"/>
    <w:rsid w:val="00477D89"/>
    <w:rsid w:val="00485380"/>
    <w:rsid w:val="00485E70"/>
    <w:rsid w:val="004903B5"/>
    <w:rsid w:val="004919FC"/>
    <w:rsid w:val="00493D87"/>
    <w:rsid w:val="0049412A"/>
    <w:rsid w:val="004950D4"/>
    <w:rsid w:val="00495153"/>
    <w:rsid w:val="004A0506"/>
    <w:rsid w:val="004A2342"/>
    <w:rsid w:val="004A2F62"/>
    <w:rsid w:val="004A3E3C"/>
    <w:rsid w:val="004A49A4"/>
    <w:rsid w:val="004A5B6B"/>
    <w:rsid w:val="004A60A2"/>
    <w:rsid w:val="004B1DB8"/>
    <w:rsid w:val="004B2F01"/>
    <w:rsid w:val="004B4182"/>
    <w:rsid w:val="004B4538"/>
    <w:rsid w:val="004B6FB6"/>
    <w:rsid w:val="004C3423"/>
    <w:rsid w:val="004C571D"/>
    <w:rsid w:val="004C7591"/>
    <w:rsid w:val="004D35A2"/>
    <w:rsid w:val="004D3643"/>
    <w:rsid w:val="004D5A35"/>
    <w:rsid w:val="004D5FD1"/>
    <w:rsid w:val="004E1D46"/>
    <w:rsid w:val="004F2BA0"/>
    <w:rsid w:val="004F7C93"/>
    <w:rsid w:val="005000C8"/>
    <w:rsid w:val="00506105"/>
    <w:rsid w:val="00513162"/>
    <w:rsid w:val="00521C3D"/>
    <w:rsid w:val="00525809"/>
    <w:rsid w:val="00535130"/>
    <w:rsid w:val="00537302"/>
    <w:rsid w:val="00541F31"/>
    <w:rsid w:val="00555509"/>
    <w:rsid w:val="005573EA"/>
    <w:rsid w:val="00560890"/>
    <w:rsid w:val="00561C5B"/>
    <w:rsid w:val="005629C8"/>
    <w:rsid w:val="00564F2D"/>
    <w:rsid w:val="00566CDA"/>
    <w:rsid w:val="0056727E"/>
    <w:rsid w:val="00567BA6"/>
    <w:rsid w:val="00570033"/>
    <w:rsid w:val="00570147"/>
    <w:rsid w:val="00572AE1"/>
    <w:rsid w:val="0057307E"/>
    <w:rsid w:val="00573A4C"/>
    <w:rsid w:val="00574B79"/>
    <w:rsid w:val="00574D12"/>
    <w:rsid w:val="005800B4"/>
    <w:rsid w:val="0058070B"/>
    <w:rsid w:val="00580BF6"/>
    <w:rsid w:val="0058192D"/>
    <w:rsid w:val="0058296F"/>
    <w:rsid w:val="00595E80"/>
    <w:rsid w:val="0059650E"/>
    <w:rsid w:val="00596953"/>
    <w:rsid w:val="005A423F"/>
    <w:rsid w:val="005A6030"/>
    <w:rsid w:val="005B04C5"/>
    <w:rsid w:val="005B57AD"/>
    <w:rsid w:val="005B722E"/>
    <w:rsid w:val="005C02FE"/>
    <w:rsid w:val="005C15E5"/>
    <w:rsid w:val="005C34E0"/>
    <w:rsid w:val="005C50AC"/>
    <w:rsid w:val="005C6406"/>
    <w:rsid w:val="005D69D1"/>
    <w:rsid w:val="005E210D"/>
    <w:rsid w:val="005E280A"/>
    <w:rsid w:val="005E289E"/>
    <w:rsid w:val="005F2425"/>
    <w:rsid w:val="005F5B32"/>
    <w:rsid w:val="005F5EC7"/>
    <w:rsid w:val="005F62B6"/>
    <w:rsid w:val="005F7207"/>
    <w:rsid w:val="005F7FCF"/>
    <w:rsid w:val="00600E5F"/>
    <w:rsid w:val="00600EF7"/>
    <w:rsid w:val="00606AB3"/>
    <w:rsid w:val="00607691"/>
    <w:rsid w:val="0061062C"/>
    <w:rsid w:val="00613183"/>
    <w:rsid w:val="006133F0"/>
    <w:rsid w:val="00616888"/>
    <w:rsid w:val="006176BE"/>
    <w:rsid w:val="006212CB"/>
    <w:rsid w:val="006279F9"/>
    <w:rsid w:val="006369EE"/>
    <w:rsid w:val="00636BE5"/>
    <w:rsid w:val="0064332E"/>
    <w:rsid w:val="00644BE1"/>
    <w:rsid w:val="00646970"/>
    <w:rsid w:val="0064700E"/>
    <w:rsid w:val="00650183"/>
    <w:rsid w:val="00650677"/>
    <w:rsid w:val="006532FD"/>
    <w:rsid w:val="006736A9"/>
    <w:rsid w:val="00673BC7"/>
    <w:rsid w:val="00674975"/>
    <w:rsid w:val="00675D39"/>
    <w:rsid w:val="00676CA2"/>
    <w:rsid w:val="0068057B"/>
    <w:rsid w:val="0068560B"/>
    <w:rsid w:val="0069290A"/>
    <w:rsid w:val="006A1277"/>
    <w:rsid w:val="006A2602"/>
    <w:rsid w:val="006A2D41"/>
    <w:rsid w:val="006A42C7"/>
    <w:rsid w:val="006A67E1"/>
    <w:rsid w:val="006B05DF"/>
    <w:rsid w:val="006B242C"/>
    <w:rsid w:val="006B2990"/>
    <w:rsid w:val="006B420D"/>
    <w:rsid w:val="006B548F"/>
    <w:rsid w:val="006C36FB"/>
    <w:rsid w:val="006C4DAC"/>
    <w:rsid w:val="006C6CC2"/>
    <w:rsid w:val="006C7D62"/>
    <w:rsid w:val="006D0B23"/>
    <w:rsid w:val="006D2ED6"/>
    <w:rsid w:val="006D36EF"/>
    <w:rsid w:val="006D5685"/>
    <w:rsid w:val="006E1987"/>
    <w:rsid w:val="006E1C88"/>
    <w:rsid w:val="006E23B2"/>
    <w:rsid w:val="006E43C0"/>
    <w:rsid w:val="006E5207"/>
    <w:rsid w:val="006E625A"/>
    <w:rsid w:val="006E75F6"/>
    <w:rsid w:val="006F5C70"/>
    <w:rsid w:val="006F6A20"/>
    <w:rsid w:val="007047B2"/>
    <w:rsid w:val="00704DE7"/>
    <w:rsid w:val="00706868"/>
    <w:rsid w:val="00706BDD"/>
    <w:rsid w:val="00706DEA"/>
    <w:rsid w:val="007078B8"/>
    <w:rsid w:val="00715E32"/>
    <w:rsid w:val="007162D1"/>
    <w:rsid w:val="00716463"/>
    <w:rsid w:val="0071706E"/>
    <w:rsid w:val="0072452C"/>
    <w:rsid w:val="00727292"/>
    <w:rsid w:val="007303F6"/>
    <w:rsid w:val="007422CE"/>
    <w:rsid w:val="00742F6A"/>
    <w:rsid w:val="007446E8"/>
    <w:rsid w:val="00751553"/>
    <w:rsid w:val="0075165E"/>
    <w:rsid w:val="0075167B"/>
    <w:rsid w:val="00754E10"/>
    <w:rsid w:val="00762A29"/>
    <w:rsid w:val="0076327D"/>
    <w:rsid w:val="00763F7D"/>
    <w:rsid w:val="00767745"/>
    <w:rsid w:val="007707FC"/>
    <w:rsid w:val="00770BE3"/>
    <w:rsid w:val="0077177A"/>
    <w:rsid w:val="007728A8"/>
    <w:rsid w:val="00785A76"/>
    <w:rsid w:val="00787852"/>
    <w:rsid w:val="007915BC"/>
    <w:rsid w:val="007967FA"/>
    <w:rsid w:val="00797E7A"/>
    <w:rsid w:val="007A0EA6"/>
    <w:rsid w:val="007A2D9E"/>
    <w:rsid w:val="007A72D9"/>
    <w:rsid w:val="007B0381"/>
    <w:rsid w:val="007B0F3D"/>
    <w:rsid w:val="007B148D"/>
    <w:rsid w:val="007B1529"/>
    <w:rsid w:val="007B18C8"/>
    <w:rsid w:val="007B28DE"/>
    <w:rsid w:val="007B47F2"/>
    <w:rsid w:val="007B7A5F"/>
    <w:rsid w:val="007C36BE"/>
    <w:rsid w:val="007C7F75"/>
    <w:rsid w:val="007D2B4A"/>
    <w:rsid w:val="007D4CA5"/>
    <w:rsid w:val="007D4FA0"/>
    <w:rsid w:val="007D53ED"/>
    <w:rsid w:val="007D590D"/>
    <w:rsid w:val="007D6001"/>
    <w:rsid w:val="007D7F94"/>
    <w:rsid w:val="007E1B76"/>
    <w:rsid w:val="007E219A"/>
    <w:rsid w:val="007E37BF"/>
    <w:rsid w:val="007E5DF5"/>
    <w:rsid w:val="007E6593"/>
    <w:rsid w:val="007F1101"/>
    <w:rsid w:val="007F2CB1"/>
    <w:rsid w:val="007F3066"/>
    <w:rsid w:val="007F3A52"/>
    <w:rsid w:val="007F769F"/>
    <w:rsid w:val="00803D20"/>
    <w:rsid w:val="008112A0"/>
    <w:rsid w:val="00811A5F"/>
    <w:rsid w:val="00811E5E"/>
    <w:rsid w:val="0081696D"/>
    <w:rsid w:val="00816E01"/>
    <w:rsid w:val="008173D0"/>
    <w:rsid w:val="008217D1"/>
    <w:rsid w:val="00823235"/>
    <w:rsid w:val="008249F1"/>
    <w:rsid w:val="00824AF2"/>
    <w:rsid w:val="00826686"/>
    <w:rsid w:val="00834780"/>
    <w:rsid w:val="00834B66"/>
    <w:rsid w:val="00835563"/>
    <w:rsid w:val="00836511"/>
    <w:rsid w:val="00836B02"/>
    <w:rsid w:val="00836EC6"/>
    <w:rsid w:val="0083741E"/>
    <w:rsid w:val="00837985"/>
    <w:rsid w:val="00840B3E"/>
    <w:rsid w:val="00840E3D"/>
    <w:rsid w:val="00841D8C"/>
    <w:rsid w:val="00842220"/>
    <w:rsid w:val="00843B5F"/>
    <w:rsid w:val="00844111"/>
    <w:rsid w:val="00844F74"/>
    <w:rsid w:val="00844FD7"/>
    <w:rsid w:val="00846382"/>
    <w:rsid w:val="00850953"/>
    <w:rsid w:val="00850F57"/>
    <w:rsid w:val="008536C2"/>
    <w:rsid w:val="008600C7"/>
    <w:rsid w:val="008617D0"/>
    <w:rsid w:val="00861A60"/>
    <w:rsid w:val="00862357"/>
    <w:rsid w:val="00862D02"/>
    <w:rsid w:val="008637B9"/>
    <w:rsid w:val="00864194"/>
    <w:rsid w:val="00865CD1"/>
    <w:rsid w:val="00870399"/>
    <w:rsid w:val="008711EC"/>
    <w:rsid w:val="008718FE"/>
    <w:rsid w:val="00872946"/>
    <w:rsid w:val="008744FD"/>
    <w:rsid w:val="00883928"/>
    <w:rsid w:val="00883DA6"/>
    <w:rsid w:val="00883DDE"/>
    <w:rsid w:val="00891D73"/>
    <w:rsid w:val="00892A44"/>
    <w:rsid w:val="00895612"/>
    <w:rsid w:val="00896C0A"/>
    <w:rsid w:val="008A1FCD"/>
    <w:rsid w:val="008A2DE8"/>
    <w:rsid w:val="008A312D"/>
    <w:rsid w:val="008A3E09"/>
    <w:rsid w:val="008A3E57"/>
    <w:rsid w:val="008A7475"/>
    <w:rsid w:val="008A77A7"/>
    <w:rsid w:val="008B090B"/>
    <w:rsid w:val="008B22B5"/>
    <w:rsid w:val="008B3F34"/>
    <w:rsid w:val="008C034C"/>
    <w:rsid w:val="008C18CB"/>
    <w:rsid w:val="008C3F2F"/>
    <w:rsid w:val="008C410D"/>
    <w:rsid w:val="008C468B"/>
    <w:rsid w:val="008C5228"/>
    <w:rsid w:val="008C56B9"/>
    <w:rsid w:val="008D05E0"/>
    <w:rsid w:val="008D2600"/>
    <w:rsid w:val="008D5D7C"/>
    <w:rsid w:val="008E021F"/>
    <w:rsid w:val="008E0AC0"/>
    <w:rsid w:val="008E11B5"/>
    <w:rsid w:val="008E221A"/>
    <w:rsid w:val="008E3FFE"/>
    <w:rsid w:val="008E60BE"/>
    <w:rsid w:val="008E6B74"/>
    <w:rsid w:val="008F0E0C"/>
    <w:rsid w:val="008F0FAF"/>
    <w:rsid w:val="008F46CD"/>
    <w:rsid w:val="008F4DF7"/>
    <w:rsid w:val="008F6480"/>
    <w:rsid w:val="008F74CC"/>
    <w:rsid w:val="008F7740"/>
    <w:rsid w:val="00900CA2"/>
    <w:rsid w:val="00903653"/>
    <w:rsid w:val="00910A52"/>
    <w:rsid w:val="00911479"/>
    <w:rsid w:val="0091484D"/>
    <w:rsid w:val="00923129"/>
    <w:rsid w:val="00925E71"/>
    <w:rsid w:val="00927176"/>
    <w:rsid w:val="0093329F"/>
    <w:rsid w:val="00937043"/>
    <w:rsid w:val="009445D3"/>
    <w:rsid w:val="00944870"/>
    <w:rsid w:val="00955A8A"/>
    <w:rsid w:val="009573C3"/>
    <w:rsid w:val="00961A3E"/>
    <w:rsid w:val="0096400D"/>
    <w:rsid w:val="00966600"/>
    <w:rsid w:val="009671D9"/>
    <w:rsid w:val="00971352"/>
    <w:rsid w:val="00975E5B"/>
    <w:rsid w:val="00977C8F"/>
    <w:rsid w:val="00977F94"/>
    <w:rsid w:val="00980F76"/>
    <w:rsid w:val="009863E9"/>
    <w:rsid w:val="00987CDC"/>
    <w:rsid w:val="00992E20"/>
    <w:rsid w:val="009936FC"/>
    <w:rsid w:val="00993925"/>
    <w:rsid w:val="00993977"/>
    <w:rsid w:val="009966E1"/>
    <w:rsid w:val="009A05D1"/>
    <w:rsid w:val="009A09EF"/>
    <w:rsid w:val="009A28AC"/>
    <w:rsid w:val="009A3A5B"/>
    <w:rsid w:val="009A3D69"/>
    <w:rsid w:val="009A3F2A"/>
    <w:rsid w:val="009A48B4"/>
    <w:rsid w:val="009A5CC8"/>
    <w:rsid w:val="009B2AAC"/>
    <w:rsid w:val="009B3521"/>
    <w:rsid w:val="009B541C"/>
    <w:rsid w:val="009B70E7"/>
    <w:rsid w:val="009C08AC"/>
    <w:rsid w:val="009C327F"/>
    <w:rsid w:val="009C4460"/>
    <w:rsid w:val="009D7192"/>
    <w:rsid w:val="009E0E38"/>
    <w:rsid w:val="009E1A35"/>
    <w:rsid w:val="009E5B9D"/>
    <w:rsid w:val="009F09AA"/>
    <w:rsid w:val="009F2C16"/>
    <w:rsid w:val="009F2C1B"/>
    <w:rsid w:val="009F335C"/>
    <w:rsid w:val="00A002B5"/>
    <w:rsid w:val="00A0260C"/>
    <w:rsid w:val="00A0278A"/>
    <w:rsid w:val="00A041B5"/>
    <w:rsid w:val="00A04F8C"/>
    <w:rsid w:val="00A05158"/>
    <w:rsid w:val="00A05228"/>
    <w:rsid w:val="00A13BF5"/>
    <w:rsid w:val="00A14837"/>
    <w:rsid w:val="00A225E3"/>
    <w:rsid w:val="00A23A26"/>
    <w:rsid w:val="00A24A8F"/>
    <w:rsid w:val="00A25708"/>
    <w:rsid w:val="00A25BF0"/>
    <w:rsid w:val="00A26BBD"/>
    <w:rsid w:val="00A3026E"/>
    <w:rsid w:val="00A35291"/>
    <w:rsid w:val="00A41F3D"/>
    <w:rsid w:val="00A452E0"/>
    <w:rsid w:val="00A4576A"/>
    <w:rsid w:val="00A45AD0"/>
    <w:rsid w:val="00A45EE9"/>
    <w:rsid w:val="00A471C0"/>
    <w:rsid w:val="00A4793C"/>
    <w:rsid w:val="00A53C14"/>
    <w:rsid w:val="00A5418E"/>
    <w:rsid w:val="00A61410"/>
    <w:rsid w:val="00A6198A"/>
    <w:rsid w:val="00A63A10"/>
    <w:rsid w:val="00A65108"/>
    <w:rsid w:val="00A66D60"/>
    <w:rsid w:val="00A7067F"/>
    <w:rsid w:val="00A707A7"/>
    <w:rsid w:val="00A718FD"/>
    <w:rsid w:val="00A72341"/>
    <w:rsid w:val="00A76D1C"/>
    <w:rsid w:val="00A776ED"/>
    <w:rsid w:val="00A80E50"/>
    <w:rsid w:val="00A8137F"/>
    <w:rsid w:val="00A83663"/>
    <w:rsid w:val="00A83B0F"/>
    <w:rsid w:val="00A84216"/>
    <w:rsid w:val="00A90BFA"/>
    <w:rsid w:val="00A92BF3"/>
    <w:rsid w:val="00A943C8"/>
    <w:rsid w:val="00A950A4"/>
    <w:rsid w:val="00A9520D"/>
    <w:rsid w:val="00A96A34"/>
    <w:rsid w:val="00A9747D"/>
    <w:rsid w:val="00AA00A6"/>
    <w:rsid w:val="00AA6BA8"/>
    <w:rsid w:val="00AA7F5A"/>
    <w:rsid w:val="00AB2340"/>
    <w:rsid w:val="00AB5FE4"/>
    <w:rsid w:val="00AB63FD"/>
    <w:rsid w:val="00AB659D"/>
    <w:rsid w:val="00AC02D7"/>
    <w:rsid w:val="00AC229F"/>
    <w:rsid w:val="00AD7671"/>
    <w:rsid w:val="00AE53E8"/>
    <w:rsid w:val="00AE6FE4"/>
    <w:rsid w:val="00AF2059"/>
    <w:rsid w:val="00AF3D84"/>
    <w:rsid w:val="00AF4161"/>
    <w:rsid w:val="00AF4506"/>
    <w:rsid w:val="00AF580B"/>
    <w:rsid w:val="00B007C8"/>
    <w:rsid w:val="00B14410"/>
    <w:rsid w:val="00B15E61"/>
    <w:rsid w:val="00B16412"/>
    <w:rsid w:val="00B22711"/>
    <w:rsid w:val="00B23002"/>
    <w:rsid w:val="00B24F35"/>
    <w:rsid w:val="00B24FC8"/>
    <w:rsid w:val="00B3284A"/>
    <w:rsid w:val="00B32C88"/>
    <w:rsid w:val="00B34747"/>
    <w:rsid w:val="00B42E49"/>
    <w:rsid w:val="00B468FF"/>
    <w:rsid w:val="00B50903"/>
    <w:rsid w:val="00B624BD"/>
    <w:rsid w:val="00B62539"/>
    <w:rsid w:val="00B62FFE"/>
    <w:rsid w:val="00B65013"/>
    <w:rsid w:val="00B661F1"/>
    <w:rsid w:val="00B7123A"/>
    <w:rsid w:val="00B7435C"/>
    <w:rsid w:val="00B75895"/>
    <w:rsid w:val="00B76F38"/>
    <w:rsid w:val="00B8085D"/>
    <w:rsid w:val="00B81EFF"/>
    <w:rsid w:val="00B82316"/>
    <w:rsid w:val="00B836BB"/>
    <w:rsid w:val="00B84122"/>
    <w:rsid w:val="00B862B0"/>
    <w:rsid w:val="00B9066C"/>
    <w:rsid w:val="00B9352F"/>
    <w:rsid w:val="00BA2B7C"/>
    <w:rsid w:val="00BA3EBC"/>
    <w:rsid w:val="00BB142A"/>
    <w:rsid w:val="00BB34B9"/>
    <w:rsid w:val="00BB35C2"/>
    <w:rsid w:val="00BB3B9E"/>
    <w:rsid w:val="00BB5387"/>
    <w:rsid w:val="00BB553B"/>
    <w:rsid w:val="00BC035C"/>
    <w:rsid w:val="00BC28D7"/>
    <w:rsid w:val="00BC376C"/>
    <w:rsid w:val="00BC6321"/>
    <w:rsid w:val="00BC7817"/>
    <w:rsid w:val="00BC7F5A"/>
    <w:rsid w:val="00BD3819"/>
    <w:rsid w:val="00BD642D"/>
    <w:rsid w:val="00BD6988"/>
    <w:rsid w:val="00BD7E5B"/>
    <w:rsid w:val="00BE1904"/>
    <w:rsid w:val="00BE1A77"/>
    <w:rsid w:val="00BE2B23"/>
    <w:rsid w:val="00BE4742"/>
    <w:rsid w:val="00BE7383"/>
    <w:rsid w:val="00BE754D"/>
    <w:rsid w:val="00BF1A52"/>
    <w:rsid w:val="00BF1DB9"/>
    <w:rsid w:val="00BF6D10"/>
    <w:rsid w:val="00BF6E79"/>
    <w:rsid w:val="00C03F6C"/>
    <w:rsid w:val="00C12108"/>
    <w:rsid w:val="00C121D9"/>
    <w:rsid w:val="00C12784"/>
    <w:rsid w:val="00C13453"/>
    <w:rsid w:val="00C15DB2"/>
    <w:rsid w:val="00C20C16"/>
    <w:rsid w:val="00C220F9"/>
    <w:rsid w:val="00C2541C"/>
    <w:rsid w:val="00C26862"/>
    <w:rsid w:val="00C30458"/>
    <w:rsid w:val="00C31DA6"/>
    <w:rsid w:val="00C33260"/>
    <w:rsid w:val="00C33E41"/>
    <w:rsid w:val="00C34F4A"/>
    <w:rsid w:val="00C35D5E"/>
    <w:rsid w:val="00C4598F"/>
    <w:rsid w:val="00C50360"/>
    <w:rsid w:val="00C504A2"/>
    <w:rsid w:val="00C50D6D"/>
    <w:rsid w:val="00C52381"/>
    <w:rsid w:val="00C54E12"/>
    <w:rsid w:val="00C55468"/>
    <w:rsid w:val="00C578DD"/>
    <w:rsid w:val="00C60C21"/>
    <w:rsid w:val="00C622C3"/>
    <w:rsid w:val="00C625B3"/>
    <w:rsid w:val="00C6392B"/>
    <w:rsid w:val="00C63BD5"/>
    <w:rsid w:val="00C7344E"/>
    <w:rsid w:val="00C74906"/>
    <w:rsid w:val="00C81B40"/>
    <w:rsid w:val="00C81FEA"/>
    <w:rsid w:val="00C83969"/>
    <w:rsid w:val="00C86C95"/>
    <w:rsid w:val="00C910F3"/>
    <w:rsid w:val="00C919EA"/>
    <w:rsid w:val="00CA05EB"/>
    <w:rsid w:val="00CA3515"/>
    <w:rsid w:val="00CA3A05"/>
    <w:rsid w:val="00CA74FA"/>
    <w:rsid w:val="00CB14E9"/>
    <w:rsid w:val="00CB47C6"/>
    <w:rsid w:val="00CB6D90"/>
    <w:rsid w:val="00CB72C3"/>
    <w:rsid w:val="00CC45E4"/>
    <w:rsid w:val="00CC6587"/>
    <w:rsid w:val="00CD019F"/>
    <w:rsid w:val="00CD27C5"/>
    <w:rsid w:val="00CD2F66"/>
    <w:rsid w:val="00CE20A2"/>
    <w:rsid w:val="00CE31BC"/>
    <w:rsid w:val="00CE3CE0"/>
    <w:rsid w:val="00CE4169"/>
    <w:rsid w:val="00CE7894"/>
    <w:rsid w:val="00CF06A1"/>
    <w:rsid w:val="00CF1467"/>
    <w:rsid w:val="00CF48D6"/>
    <w:rsid w:val="00CF57D6"/>
    <w:rsid w:val="00CF6C1B"/>
    <w:rsid w:val="00D019D5"/>
    <w:rsid w:val="00D02050"/>
    <w:rsid w:val="00D040FE"/>
    <w:rsid w:val="00D168FD"/>
    <w:rsid w:val="00D16F64"/>
    <w:rsid w:val="00D2065A"/>
    <w:rsid w:val="00D2133D"/>
    <w:rsid w:val="00D22CC5"/>
    <w:rsid w:val="00D2472C"/>
    <w:rsid w:val="00D279BA"/>
    <w:rsid w:val="00D404B5"/>
    <w:rsid w:val="00D42068"/>
    <w:rsid w:val="00D436A3"/>
    <w:rsid w:val="00D4406D"/>
    <w:rsid w:val="00D447CB"/>
    <w:rsid w:val="00D47D16"/>
    <w:rsid w:val="00D505F4"/>
    <w:rsid w:val="00D51CE1"/>
    <w:rsid w:val="00D562F2"/>
    <w:rsid w:val="00D61B93"/>
    <w:rsid w:val="00D67E4A"/>
    <w:rsid w:val="00D7181A"/>
    <w:rsid w:val="00D763FD"/>
    <w:rsid w:val="00D90AD1"/>
    <w:rsid w:val="00D941F7"/>
    <w:rsid w:val="00D94968"/>
    <w:rsid w:val="00D94FF9"/>
    <w:rsid w:val="00DA4DDF"/>
    <w:rsid w:val="00DA5F47"/>
    <w:rsid w:val="00DB0804"/>
    <w:rsid w:val="00DB19D1"/>
    <w:rsid w:val="00DB2D91"/>
    <w:rsid w:val="00DB2FC4"/>
    <w:rsid w:val="00DC382A"/>
    <w:rsid w:val="00DC7281"/>
    <w:rsid w:val="00DE1923"/>
    <w:rsid w:val="00DE2B33"/>
    <w:rsid w:val="00DE638B"/>
    <w:rsid w:val="00DE72EE"/>
    <w:rsid w:val="00DE762E"/>
    <w:rsid w:val="00DF0F66"/>
    <w:rsid w:val="00DF3538"/>
    <w:rsid w:val="00DF37E5"/>
    <w:rsid w:val="00E034FE"/>
    <w:rsid w:val="00E041E5"/>
    <w:rsid w:val="00E04888"/>
    <w:rsid w:val="00E0763B"/>
    <w:rsid w:val="00E10302"/>
    <w:rsid w:val="00E14980"/>
    <w:rsid w:val="00E16110"/>
    <w:rsid w:val="00E17EC5"/>
    <w:rsid w:val="00E26BFD"/>
    <w:rsid w:val="00E27E90"/>
    <w:rsid w:val="00E33D02"/>
    <w:rsid w:val="00E34F2C"/>
    <w:rsid w:val="00E35D79"/>
    <w:rsid w:val="00E36872"/>
    <w:rsid w:val="00E417F4"/>
    <w:rsid w:val="00E4641E"/>
    <w:rsid w:val="00E519AE"/>
    <w:rsid w:val="00E53027"/>
    <w:rsid w:val="00E5443F"/>
    <w:rsid w:val="00E57AF7"/>
    <w:rsid w:val="00E6241B"/>
    <w:rsid w:val="00E63DF5"/>
    <w:rsid w:val="00E64FCC"/>
    <w:rsid w:val="00E703B6"/>
    <w:rsid w:val="00E72200"/>
    <w:rsid w:val="00E72B1B"/>
    <w:rsid w:val="00E75D47"/>
    <w:rsid w:val="00E766F5"/>
    <w:rsid w:val="00E77054"/>
    <w:rsid w:val="00E77652"/>
    <w:rsid w:val="00E82948"/>
    <w:rsid w:val="00E90218"/>
    <w:rsid w:val="00E913BB"/>
    <w:rsid w:val="00E95F2E"/>
    <w:rsid w:val="00EA1508"/>
    <w:rsid w:val="00EA1541"/>
    <w:rsid w:val="00EA32E4"/>
    <w:rsid w:val="00EA45FC"/>
    <w:rsid w:val="00EA7E36"/>
    <w:rsid w:val="00EB0898"/>
    <w:rsid w:val="00EB106B"/>
    <w:rsid w:val="00EB627B"/>
    <w:rsid w:val="00EB6D94"/>
    <w:rsid w:val="00EC1DE2"/>
    <w:rsid w:val="00EC4183"/>
    <w:rsid w:val="00EC5ABF"/>
    <w:rsid w:val="00EC5B57"/>
    <w:rsid w:val="00EC6468"/>
    <w:rsid w:val="00EC6708"/>
    <w:rsid w:val="00ED207C"/>
    <w:rsid w:val="00ED325A"/>
    <w:rsid w:val="00ED3F41"/>
    <w:rsid w:val="00ED5615"/>
    <w:rsid w:val="00ED692E"/>
    <w:rsid w:val="00ED69AF"/>
    <w:rsid w:val="00EE1847"/>
    <w:rsid w:val="00EE240E"/>
    <w:rsid w:val="00EE688E"/>
    <w:rsid w:val="00EE6A6D"/>
    <w:rsid w:val="00EF03E2"/>
    <w:rsid w:val="00EF0BDF"/>
    <w:rsid w:val="00EF7F8B"/>
    <w:rsid w:val="00F01F26"/>
    <w:rsid w:val="00F03814"/>
    <w:rsid w:val="00F07A09"/>
    <w:rsid w:val="00F11723"/>
    <w:rsid w:val="00F1390C"/>
    <w:rsid w:val="00F14D76"/>
    <w:rsid w:val="00F14D98"/>
    <w:rsid w:val="00F15075"/>
    <w:rsid w:val="00F15344"/>
    <w:rsid w:val="00F158AE"/>
    <w:rsid w:val="00F20C5E"/>
    <w:rsid w:val="00F33058"/>
    <w:rsid w:val="00F36A1D"/>
    <w:rsid w:val="00F36C25"/>
    <w:rsid w:val="00F44278"/>
    <w:rsid w:val="00F51B65"/>
    <w:rsid w:val="00F52AAB"/>
    <w:rsid w:val="00F52EB6"/>
    <w:rsid w:val="00F55260"/>
    <w:rsid w:val="00F6316B"/>
    <w:rsid w:val="00F65AE0"/>
    <w:rsid w:val="00F71DE7"/>
    <w:rsid w:val="00F74E38"/>
    <w:rsid w:val="00F76D6F"/>
    <w:rsid w:val="00F778B0"/>
    <w:rsid w:val="00F83BC2"/>
    <w:rsid w:val="00F92EC1"/>
    <w:rsid w:val="00F94C47"/>
    <w:rsid w:val="00F95EFE"/>
    <w:rsid w:val="00FA0421"/>
    <w:rsid w:val="00FA2B9E"/>
    <w:rsid w:val="00FA2F65"/>
    <w:rsid w:val="00FA3389"/>
    <w:rsid w:val="00FA3476"/>
    <w:rsid w:val="00FA495F"/>
    <w:rsid w:val="00FA51D2"/>
    <w:rsid w:val="00FB0C10"/>
    <w:rsid w:val="00FB3C36"/>
    <w:rsid w:val="00FB4280"/>
    <w:rsid w:val="00FB7CCE"/>
    <w:rsid w:val="00FC01C8"/>
    <w:rsid w:val="00FC04D1"/>
    <w:rsid w:val="00FC0AED"/>
    <w:rsid w:val="00FC5027"/>
    <w:rsid w:val="00FC50C7"/>
    <w:rsid w:val="00FC511D"/>
    <w:rsid w:val="00FC68BC"/>
    <w:rsid w:val="00FD11D4"/>
    <w:rsid w:val="00FD225D"/>
    <w:rsid w:val="00FD2384"/>
    <w:rsid w:val="00FD3DBA"/>
    <w:rsid w:val="00FD44CE"/>
    <w:rsid w:val="00FD5C9F"/>
    <w:rsid w:val="00FE2FB9"/>
    <w:rsid w:val="00FE452E"/>
    <w:rsid w:val="00FF3E46"/>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6C4DAC"/>
    <w:rPr>
      <w:rFonts w:ascii="Arial" w:hAnsi="Arial"/>
      <w:b/>
      <w:color w:val="000000"/>
      <w:kern w:val="28"/>
      <w:sz w:val="25"/>
      <w:szCs w:val="26"/>
      <w:lang w:val="es-ES_tradnl" w:eastAsia="en-US"/>
    </w:rPr>
  </w:style>
  <w:style w:type="character" w:customStyle="1" w:styleId="atitulo2Car">
    <w:name w:val="atitulo2 Car"/>
    <w:link w:val="atitulo2"/>
    <w:locked/>
    <w:rsid w:val="006C4DAC"/>
    <w:rPr>
      <w:rFonts w:ascii="Arial" w:hAnsi="Arial"/>
      <w:bCs/>
      <w:iCs/>
      <w:color w:val="000000"/>
      <w:spacing w:val="10"/>
      <w:kern w:val="28"/>
      <w:sz w:val="25"/>
      <w:szCs w:val="26"/>
      <w:lang w:val="es-ES_tradnl" w:eastAsia="en-US"/>
    </w:rPr>
  </w:style>
  <w:style w:type="paragraph" w:styleId="Textonotapie">
    <w:name w:val="footnote text"/>
    <w:basedOn w:val="Normal"/>
    <w:link w:val="TextonotapieCar"/>
    <w:unhideWhenUsed/>
    <w:rsid w:val="0049412A"/>
    <w:pPr>
      <w:spacing w:after="0"/>
    </w:pPr>
  </w:style>
  <w:style w:type="character" w:customStyle="1" w:styleId="TextonotapieCar">
    <w:name w:val="Texto nota pie Car"/>
    <w:basedOn w:val="Fuentedeprrafopredeter"/>
    <w:link w:val="Textonotapie"/>
    <w:rsid w:val="0049412A"/>
    <w:rPr>
      <w:lang w:val="es-ES_tradnl" w:eastAsia="en-US"/>
    </w:rPr>
  </w:style>
  <w:style w:type="character" w:styleId="Refdenotaalpie">
    <w:name w:val="footnote reference"/>
    <w:basedOn w:val="Fuentedeprrafopredeter"/>
    <w:unhideWhenUsed/>
    <w:rsid w:val="0049412A"/>
    <w:rPr>
      <w:vertAlign w:val="superscript"/>
    </w:rPr>
  </w:style>
  <w:style w:type="paragraph" w:styleId="NormalWeb">
    <w:name w:val="Normal (Web)"/>
    <w:basedOn w:val="Normal"/>
    <w:uiPriority w:val="99"/>
    <w:unhideWhenUsed/>
    <w:rsid w:val="00676CA2"/>
    <w:pPr>
      <w:spacing w:before="100" w:beforeAutospacing="1" w:after="100" w:afterAutospacing="1"/>
      <w:ind w:firstLine="0"/>
      <w:jc w:val="left"/>
    </w:pPr>
    <w:rPr>
      <w:rFonts w:eastAsiaTheme="minorEastAsia"/>
      <w:sz w:val="24"/>
      <w:szCs w:val="24"/>
      <w:lang w:val="es-ES" w:eastAsia="es-ES"/>
    </w:rPr>
  </w:style>
  <w:style w:type="paragraph" w:styleId="Prrafodelista">
    <w:name w:val="List Paragraph"/>
    <w:basedOn w:val="Normal"/>
    <w:uiPriority w:val="34"/>
    <w:qFormat/>
    <w:rsid w:val="00676CA2"/>
    <w:pPr>
      <w:ind w:left="720"/>
      <w:contextualSpacing/>
    </w:pPr>
  </w:style>
  <w:style w:type="character" w:customStyle="1" w:styleId="PiedepginaCar">
    <w:name w:val="Pie de página Car"/>
    <w:basedOn w:val="Fuentedeprrafopredeter"/>
    <w:link w:val="Piedepgina"/>
    <w:uiPriority w:val="99"/>
    <w:rsid w:val="00676CA2"/>
    <w:rPr>
      <w:spacing w:val="6"/>
      <w:lang w:val="es-ES_tradnl" w:eastAsia="en-US"/>
    </w:rPr>
  </w:style>
  <w:style w:type="numbering" w:customStyle="1" w:styleId="Sinlista1">
    <w:name w:val="Sin lista1"/>
    <w:next w:val="Sinlista"/>
    <w:uiPriority w:val="99"/>
    <w:semiHidden/>
    <w:unhideWhenUsed/>
    <w:rsid w:val="00676CA2"/>
  </w:style>
  <w:style w:type="character" w:customStyle="1" w:styleId="TextodegloboCar">
    <w:name w:val="Texto de globo Car"/>
    <w:basedOn w:val="Fuentedeprrafopredeter"/>
    <w:link w:val="Textodeglobo"/>
    <w:uiPriority w:val="99"/>
    <w:semiHidden/>
    <w:rsid w:val="00676CA2"/>
    <w:rPr>
      <w:rFonts w:ascii="Tahoma" w:hAnsi="Tahoma" w:cs="Tahoma"/>
      <w:sz w:val="16"/>
      <w:szCs w:val="16"/>
      <w:lang w:val="es-ES_tradnl" w:eastAsia="en-US"/>
    </w:rPr>
  </w:style>
  <w:style w:type="character" w:customStyle="1" w:styleId="atitulo3Car">
    <w:name w:val="atitulo3 Car"/>
    <w:link w:val="atitulo3"/>
    <w:rsid w:val="00676CA2"/>
    <w:rPr>
      <w:rFonts w:ascii="Arial" w:hAnsi="Arial"/>
      <w:i/>
      <w:iCs/>
      <w:color w:val="000000"/>
      <w:spacing w:val="10"/>
      <w:kern w:val="28"/>
      <w:sz w:val="25"/>
      <w:szCs w:val="26"/>
      <w:lang w:val="es-ES_tradnl" w:eastAsia="en-US"/>
    </w:rPr>
  </w:style>
  <w:style w:type="paragraph" w:customStyle="1" w:styleId="xl1">
    <w:name w:val="xl1"/>
    <w:basedOn w:val="Normal"/>
    <w:rsid w:val="00676CA2"/>
    <w:pPr>
      <w:spacing w:before="100" w:beforeAutospacing="1" w:after="100" w:afterAutospacing="1"/>
      <w:ind w:firstLine="0"/>
      <w:jc w:val="left"/>
    </w:pPr>
    <w:rPr>
      <w:sz w:val="24"/>
      <w:szCs w:val="24"/>
      <w:lang w:val="es-ES" w:eastAsia="es-ES"/>
    </w:rPr>
  </w:style>
  <w:style w:type="paragraph" w:customStyle="1" w:styleId="xl2">
    <w:name w:val="xl2"/>
    <w:basedOn w:val="Normal"/>
    <w:rsid w:val="00676CA2"/>
    <w:pPr>
      <w:spacing w:before="100" w:beforeAutospacing="1" w:after="100" w:afterAutospacing="1"/>
      <w:ind w:firstLine="0"/>
      <w:jc w:val="left"/>
    </w:pPr>
    <w:rPr>
      <w:sz w:val="24"/>
      <w:szCs w:val="24"/>
      <w:lang w:val="es-ES" w:eastAsia="es-ES"/>
    </w:rPr>
  </w:style>
  <w:style w:type="paragraph" w:styleId="Revisin">
    <w:name w:val="Revision"/>
    <w:hidden/>
    <w:uiPriority w:val="99"/>
    <w:semiHidden/>
    <w:rsid w:val="00676CA2"/>
    <w:rPr>
      <w:lang w:val="es-ES_tradnl" w:eastAsia="en-US"/>
    </w:rPr>
  </w:style>
  <w:style w:type="character" w:styleId="Textoennegrita">
    <w:name w:val="Strong"/>
    <w:basedOn w:val="Fuentedeprrafopredeter"/>
    <w:uiPriority w:val="22"/>
    <w:qFormat/>
    <w:rsid w:val="00676CA2"/>
    <w:rPr>
      <w:b/>
      <w:bCs/>
    </w:rPr>
  </w:style>
  <w:style w:type="paragraph" w:customStyle="1" w:styleId="Default">
    <w:name w:val="Default"/>
    <w:rsid w:val="00676CA2"/>
    <w:pPr>
      <w:autoSpaceDE w:val="0"/>
      <w:autoSpaceDN w:val="0"/>
      <w:adjustRightInd w:val="0"/>
    </w:pPr>
    <w:rPr>
      <w:rFonts w:ascii="Arial" w:hAnsi="Arial" w:cs="Arial"/>
      <w:color w:val="000000"/>
      <w:sz w:val="24"/>
      <w:szCs w:val="24"/>
    </w:rPr>
  </w:style>
  <w:style w:type="paragraph" w:styleId="TtulodeTDC">
    <w:name w:val="TOC Heading"/>
    <w:basedOn w:val="Ttulo1"/>
    <w:next w:val="Normal"/>
    <w:uiPriority w:val="39"/>
    <w:unhideWhenUsed/>
    <w:qFormat/>
    <w:rsid w:val="00D4406D"/>
    <w:pPr>
      <w:keepLines/>
      <w:spacing w:after="0" w:line="259" w:lineRule="auto"/>
      <w:ind w:firstLine="0"/>
      <w:jc w:val="left"/>
      <w:outlineLvl w:val="9"/>
    </w:pPr>
    <w:rPr>
      <w:rFonts w:asciiTheme="majorHAnsi" w:eastAsiaTheme="majorEastAsia" w:hAnsiTheme="majorHAnsi" w:cstheme="majorBidi"/>
      <w:b w:val="0"/>
      <w:bCs w:val="0"/>
      <w:color w:val="365F91" w:themeColor="accent1" w:themeShade="BF"/>
      <w:kern w:val="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6C4DAC"/>
    <w:rPr>
      <w:rFonts w:ascii="Arial" w:hAnsi="Arial"/>
      <w:b/>
      <w:color w:val="000000"/>
      <w:kern w:val="28"/>
      <w:sz w:val="25"/>
      <w:szCs w:val="26"/>
      <w:lang w:val="es-ES_tradnl" w:eastAsia="en-US"/>
    </w:rPr>
  </w:style>
  <w:style w:type="character" w:customStyle="1" w:styleId="atitulo2Car">
    <w:name w:val="atitulo2 Car"/>
    <w:link w:val="atitulo2"/>
    <w:locked/>
    <w:rsid w:val="006C4DAC"/>
    <w:rPr>
      <w:rFonts w:ascii="Arial" w:hAnsi="Arial"/>
      <w:bCs/>
      <w:iCs/>
      <w:color w:val="000000"/>
      <w:spacing w:val="10"/>
      <w:kern w:val="28"/>
      <w:sz w:val="25"/>
      <w:szCs w:val="26"/>
      <w:lang w:val="es-ES_tradnl" w:eastAsia="en-US"/>
    </w:rPr>
  </w:style>
  <w:style w:type="paragraph" w:styleId="Textonotapie">
    <w:name w:val="footnote text"/>
    <w:basedOn w:val="Normal"/>
    <w:link w:val="TextonotapieCar"/>
    <w:unhideWhenUsed/>
    <w:rsid w:val="0049412A"/>
    <w:pPr>
      <w:spacing w:after="0"/>
    </w:pPr>
  </w:style>
  <w:style w:type="character" w:customStyle="1" w:styleId="TextonotapieCar">
    <w:name w:val="Texto nota pie Car"/>
    <w:basedOn w:val="Fuentedeprrafopredeter"/>
    <w:link w:val="Textonotapie"/>
    <w:rsid w:val="0049412A"/>
    <w:rPr>
      <w:lang w:val="es-ES_tradnl" w:eastAsia="en-US"/>
    </w:rPr>
  </w:style>
  <w:style w:type="character" w:styleId="Refdenotaalpie">
    <w:name w:val="footnote reference"/>
    <w:basedOn w:val="Fuentedeprrafopredeter"/>
    <w:unhideWhenUsed/>
    <w:rsid w:val="0049412A"/>
    <w:rPr>
      <w:vertAlign w:val="superscript"/>
    </w:rPr>
  </w:style>
  <w:style w:type="paragraph" w:styleId="NormalWeb">
    <w:name w:val="Normal (Web)"/>
    <w:basedOn w:val="Normal"/>
    <w:uiPriority w:val="99"/>
    <w:unhideWhenUsed/>
    <w:rsid w:val="00676CA2"/>
    <w:pPr>
      <w:spacing w:before="100" w:beforeAutospacing="1" w:after="100" w:afterAutospacing="1"/>
      <w:ind w:firstLine="0"/>
      <w:jc w:val="left"/>
    </w:pPr>
    <w:rPr>
      <w:rFonts w:eastAsiaTheme="minorEastAsia"/>
      <w:sz w:val="24"/>
      <w:szCs w:val="24"/>
      <w:lang w:val="es-ES" w:eastAsia="es-ES"/>
    </w:rPr>
  </w:style>
  <w:style w:type="paragraph" w:styleId="Prrafodelista">
    <w:name w:val="List Paragraph"/>
    <w:basedOn w:val="Normal"/>
    <w:uiPriority w:val="34"/>
    <w:qFormat/>
    <w:rsid w:val="00676CA2"/>
    <w:pPr>
      <w:ind w:left="720"/>
      <w:contextualSpacing/>
    </w:pPr>
  </w:style>
  <w:style w:type="character" w:customStyle="1" w:styleId="PiedepginaCar">
    <w:name w:val="Pie de página Car"/>
    <w:basedOn w:val="Fuentedeprrafopredeter"/>
    <w:link w:val="Piedepgina"/>
    <w:uiPriority w:val="99"/>
    <w:rsid w:val="00676CA2"/>
    <w:rPr>
      <w:spacing w:val="6"/>
      <w:lang w:val="es-ES_tradnl" w:eastAsia="en-US"/>
    </w:rPr>
  </w:style>
  <w:style w:type="numbering" w:customStyle="1" w:styleId="Sinlista1">
    <w:name w:val="Sin lista1"/>
    <w:next w:val="Sinlista"/>
    <w:uiPriority w:val="99"/>
    <w:semiHidden/>
    <w:unhideWhenUsed/>
    <w:rsid w:val="00676CA2"/>
  </w:style>
  <w:style w:type="character" w:customStyle="1" w:styleId="TextodegloboCar">
    <w:name w:val="Texto de globo Car"/>
    <w:basedOn w:val="Fuentedeprrafopredeter"/>
    <w:link w:val="Textodeglobo"/>
    <w:uiPriority w:val="99"/>
    <w:semiHidden/>
    <w:rsid w:val="00676CA2"/>
    <w:rPr>
      <w:rFonts w:ascii="Tahoma" w:hAnsi="Tahoma" w:cs="Tahoma"/>
      <w:sz w:val="16"/>
      <w:szCs w:val="16"/>
      <w:lang w:val="es-ES_tradnl" w:eastAsia="en-US"/>
    </w:rPr>
  </w:style>
  <w:style w:type="character" w:customStyle="1" w:styleId="atitulo3Car">
    <w:name w:val="atitulo3 Car"/>
    <w:link w:val="atitulo3"/>
    <w:rsid w:val="00676CA2"/>
    <w:rPr>
      <w:rFonts w:ascii="Arial" w:hAnsi="Arial"/>
      <w:i/>
      <w:iCs/>
      <w:color w:val="000000"/>
      <w:spacing w:val="10"/>
      <w:kern w:val="28"/>
      <w:sz w:val="25"/>
      <w:szCs w:val="26"/>
      <w:lang w:val="es-ES_tradnl" w:eastAsia="en-US"/>
    </w:rPr>
  </w:style>
  <w:style w:type="paragraph" w:customStyle="1" w:styleId="xl1">
    <w:name w:val="xl1"/>
    <w:basedOn w:val="Normal"/>
    <w:rsid w:val="00676CA2"/>
    <w:pPr>
      <w:spacing w:before="100" w:beforeAutospacing="1" w:after="100" w:afterAutospacing="1"/>
      <w:ind w:firstLine="0"/>
      <w:jc w:val="left"/>
    </w:pPr>
    <w:rPr>
      <w:sz w:val="24"/>
      <w:szCs w:val="24"/>
      <w:lang w:val="es-ES" w:eastAsia="es-ES"/>
    </w:rPr>
  </w:style>
  <w:style w:type="paragraph" w:customStyle="1" w:styleId="xl2">
    <w:name w:val="xl2"/>
    <w:basedOn w:val="Normal"/>
    <w:rsid w:val="00676CA2"/>
    <w:pPr>
      <w:spacing w:before="100" w:beforeAutospacing="1" w:after="100" w:afterAutospacing="1"/>
      <w:ind w:firstLine="0"/>
      <w:jc w:val="left"/>
    </w:pPr>
    <w:rPr>
      <w:sz w:val="24"/>
      <w:szCs w:val="24"/>
      <w:lang w:val="es-ES" w:eastAsia="es-ES"/>
    </w:rPr>
  </w:style>
  <w:style w:type="paragraph" w:styleId="Revisin">
    <w:name w:val="Revision"/>
    <w:hidden/>
    <w:uiPriority w:val="99"/>
    <w:semiHidden/>
    <w:rsid w:val="00676CA2"/>
    <w:rPr>
      <w:lang w:val="es-ES_tradnl" w:eastAsia="en-US"/>
    </w:rPr>
  </w:style>
  <w:style w:type="character" w:styleId="Textoennegrita">
    <w:name w:val="Strong"/>
    <w:basedOn w:val="Fuentedeprrafopredeter"/>
    <w:uiPriority w:val="22"/>
    <w:qFormat/>
    <w:rsid w:val="00676CA2"/>
    <w:rPr>
      <w:b/>
      <w:bCs/>
    </w:rPr>
  </w:style>
  <w:style w:type="paragraph" w:customStyle="1" w:styleId="Default">
    <w:name w:val="Default"/>
    <w:rsid w:val="00676CA2"/>
    <w:pPr>
      <w:autoSpaceDE w:val="0"/>
      <w:autoSpaceDN w:val="0"/>
      <w:adjustRightInd w:val="0"/>
    </w:pPr>
    <w:rPr>
      <w:rFonts w:ascii="Arial" w:hAnsi="Arial" w:cs="Arial"/>
      <w:color w:val="000000"/>
      <w:sz w:val="24"/>
      <w:szCs w:val="24"/>
    </w:rPr>
  </w:style>
  <w:style w:type="paragraph" w:styleId="TtulodeTDC">
    <w:name w:val="TOC Heading"/>
    <w:basedOn w:val="Ttulo1"/>
    <w:next w:val="Normal"/>
    <w:uiPriority w:val="39"/>
    <w:unhideWhenUsed/>
    <w:qFormat/>
    <w:rsid w:val="00D4406D"/>
    <w:pPr>
      <w:keepLines/>
      <w:spacing w:after="0" w:line="259" w:lineRule="auto"/>
      <w:ind w:firstLine="0"/>
      <w:jc w:val="left"/>
      <w:outlineLvl w:val="9"/>
    </w:pPr>
    <w:rPr>
      <w:rFonts w:asciiTheme="majorHAnsi" w:eastAsiaTheme="majorEastAsia" w:hAnsiTheme="majorHAnsi" w:cstheme="majorBidi"/>
      <w:b w:val="0"/>
      <w:bCs w:val="0"/>
      <w:color w:val="365F91" w:themeColor="accent1" w:themeShade="BF"/>
      <w:kern w:val="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7724">
      <w:bodyDiv w:val="1"/>
      <w:marLeft w:val="0"/>
      <w:marRight w:val="0"/>
      <w:marTop w:val="0"/>
      <w:marBottom w:val="0"/>
      <w:divBdr>
        <w:top w:val="none" w:sz="0" w:space="0" w:color="auto"/>
        <w:left w:val="none" w:sz="0" w:space="0" w:color="auto"/>
        <w:bottom w:val="none" w:sz="0" w:space="0" w:color="auto"/>
        <w:right w:val="none" w:sz="0" w:space="0" w:color="auto"/>
      </w:divBdr>
    </w:div>
    <w:div w:id="163520011">
      <w:bodyDiv w:val="1"/>
      <w:marLeft w:val="0"/>
      <w:marRight w:val="0"/>
      <w:marTop w:val="0"/>
      <w:marBottom w:val="0"/>
      <w:divBdr>
        <w:top w:val="none" w:sz="0" w:space="0" w:color="auto"/>
        <w:left w:val="none" w:sz="0" w:space="0" w:color="auto"/>
        <w:bottom w:val="none" w:sz="0" w:space="0" w:color="auto"/>
        <w:right w:val="none" w:sz="0" w:space="0" w:color="auto"/>
      </w:divBdr>
    </w:div>
    <w:div w:id="439182895">
      <w:bodyDiv w:val="1"/>
      <w:marLeft w:val="0"/>
      <w:marRight w:val="0"/>
      <w:marTop w:val="0"/>
      <w:marBottom w:val="0"/>
      <w:divBdr>
        <w:top w:val="none" w:sz="0" w:space="0" w:color="auto"/>
        <w:left w:val="none" w:sz="0" w:space="0" w:color="auto"/>
        <w:bottom w:val="none" w:sz="0" w:space="0" w:color="auto"/>
        <w:right w:val="none" w:sz="0" w:space="0" w:color="auto"/>
      </w:divBdr>
    </w:div>
    <w:div w:id="494564898">
      <w:bodyDiv w:val="1"/>
      <w:marLeft w:val="0"/>
      <w:marRight w:val="0"/>
      <w:marTop w:val="0"/>
      <w:marBottom w:val="0"/>
      <w:divBdr>
        <w:top w:val="none" w:sz="0" w:space="0" w:color="auto"/>
        <w:left w:val="none" w:sz="0" w:space="0" w:color="auto"/>
        <w:bottom w:val="none" w:sz="0" w:space="0" w:color="auto"/>
        <w:right w:val="none" w:sz="0" w:space="0" w:color="auto"/>
      </w:divBdr>
    </w:div>
    <w:div w:id="883909183">
      <w:bodyDiv w:val="1"/>
      <w:marLeft w:val="0"/>
      <w:marRight w:val="0"/>
      <w:marTop w:val="0"/>
      <w:marBottom w:val="0"/>
      <w:divBdr>
        <w:top w:val="none" w:sz="0" w:space="0" w:color="auto"/>
        <w:left w:val="none" w:sz="0" w:space="0" w:color="auto"/>
        <w:bottom w:val="none" w:sz="0" w:space="0" w:color="auto"/>
        <w:right w:val="none" w:sz="0" w:space="0" w:color="auto"/>
      </w:divBdr>
    </w:div>
    <w:div w:id="148245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oleObject" Target="file:///C:\Users\D633935\appdata\local\temp\tm_temp\TM_3\A.3.6%20-%20PAGOS%20AUDENASA%202020%20-%2006-05-2021.xlsx" TargetMode="External"/><Relationship Id="rId1" Type="http://schemas.openxmlformats.org/officeDocument/2006/relationships/themeOverride" Target="../theme/themeOverride1.xml"/><Relationship Id="rId4"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openxmlformats.org/officeDocument/2006/relationships/oleObject" Target="file:///C:\Users\D633935\appdata\local\temp\tm_temp\TM_2\A.3.6%20-%20PAGOS%20AUDENASA%202020%20-%2006-05-2021.xlsx" TargetMode="External"/><Relationship Id="rId1" Type="http://schemas.openxmlformats.org/officeDocument/2006/relationships/themeOverride" Target="../theme/themeOverride2.xml"/><Relationship Id="rId4"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openxmlformats.org/officeDocument/2006/relationships/oleObject" Target="file:///C:\Users\D633935\appdata\local\temp\tm_temp\TM_3\A.3.6%20-%20PAGOS%20AUDENASA%202020%20-%2006-05-2021.xlsx" TargetMode="External"/><Relationship Id="rId1" Type="http://schemas.openxmlformats.org/officeDocument/2006/relationships/themeOverride" Target="../theme/themeOverride3.xml"/><Relationship Id="rId4"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openxmlformats.org/officeDocument/2006/relationships/oleObject" Target="file:///C:\Users\D633935\appdata\local\temp\tm_temp\TM_3\A.3.6%20-%20PAGOS%20AUDENASA%202020%20-%2006-05-2021.xlsx" TargetMode="External"/><Relationship Id="rId1" Type="http://schemas.openxmlformats.org/officeDocument/2006/relationships/themeOverride" Target="../theme/themeOverride4.xml"/><Relationship Id="rId4"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Recaudación teórica</a:t>
            </a:r>
          </a:p>
        </c:rich>
      </c:tx>
      <c:overlay val="0"/>
      <c:spPr>
        <a:noFill/>
        <a:ln>
          <a:noFill/>
        </a:ln>
        <a:effectLst/>
      </c:spPr>
    </c:title>
    <c:autoTitleDeleted val="0"/>
    <c:plotArea>
      <c:layout/>
      <c:lineChart>
        <c:grouping val="standard"/>
        <c:varyColors val="0"/>
        <c:ser>
          <c:idx val="0"/>
          <c:order val="0"/>
          <c:tx>
            <c:strRef>
              <c:f>'RT y EBITDA 14 y 20'!$B$2</c:f>
              <c:strCache>
                <c:ptCount val="1"/>
                <c:pt idx="0">
                  <c:v>Recaudación teórica PEF 2014</c:v>
                </c:pt>
              </c:strCache>
            </c:strRef>
          </c:tx>
          <c:spPr>
            <a:ln w="28575" cap="rnd">
              <a:solidFill>
                <a:srgbClr val="00B050"/>
              </a:solidFill>
              <a:round/>
            </a:ln>
            <a:effectLst/>
          </c:spPr>
          <c:marker>
            <c:symbol val="none"/>
          </c:marker>
          <c:cat>
            <c:numRef>
              <c:f>'RT y EBITDA 14 y 20'!$A$3:$A$18</c:f>
              <c:numCache>
                <c:formatCode>General</c:formatCode>
                <c:ptCount val="16"/>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numCache>
            </c:numRef>
          </c:cat>
          <c:val>
            <c:numRef>
              <c:f>'RT y EBITDA 14 y 20'!$B$3:$B$18</c:f>
              <c:numCache>
                <c:formatCode>#,##0</c:formatCode>
                <c:ptCount val="16"/>
                <c:pt idx="0">
                  <c:v>36129</c:v>
                </c:pt>
                <c:pt idx="1">
                  <c:v>36318</c:v>
                </c:pt>
                <c:pt idx="2">
                  <c:v>38051</c:v>
                </c:pt>
                <c:pt idx="3">
                  <c:v>40089</c:v>
                </c:pt>
                <c:pt idx="4">
                  <c:v>42044</c:v>
                </c:pt>
                <c:pt idx="5">
                  <c:v>44257</c:v>
                </c:pt>
                <c:pt idx="6">
                  <c:v>46586</c:v>
                </c:pt>
                <c:pt idx="7">
                  <c:v>49172</c:v>
                </c:pt>
                <c:pt idx="8">
                  <c:v>51618</c:v>
                </c:pt>
                <c:pt idx="9">
                  <c:v>54335</c:v>
                </c:pt>
                <c:pt idx="10">
                  <c:v>57194</c:v>
                </c:pt>
                <c:pt idx="11">
                  <c:v>60369</c:v>
                </c:pt>
                <c:pt idx="12">
                  <c:v>63372</c:v>
                </c:pt>
                <c:pt idx="13">
                  <c:v>66708</c:v>
                </c:pt>
                <c:pt idx="14">
                  <c:v>70218</c:v>
                </c:pt>
                <c:pt idx="15">
                  <c:v>74116</c:v>
                </c:pt>
              </c:numCache>
            </c:numRef>
          </c:val>
          <c:smooth val="0"/>
          <c:extLst xmlns:c16r2="http://schemas.microsoft.com/office/drawing/2015/06/chart">
            <c:ext xmlns:c16="http://schemas.microsoft.com/office/drawing/2014/chart" uri="{C3380CC4-5D6E-409C-BE32-E72D297353CC}">
              <c16:uniqueId val="{00000000-F599-40D0-9373-41B5C2D7FBF6}"/>
            </c:ext>
          </c:extLst>
        </c:ser>
        <c:ser>
          <c:idx val="1"/>
          <c:order val="1"/>
          <c:tx>
            <c:strRef>
              <c:f>'RT y EBITDA 14 y 20'!$I$2</c:f>
              <c:strCache>
                <c:ptCount val="1"/>
                <c:pt idx="0">
                  <c:v>Recaudación teórica PEF actualizado 2020 (C=1)</c:v>
                </c:pt>
              </c:strCache>
            </c:strRef>
          </c:tx>
          <c:spPr>
            <a:ln w="28575" cap="rnd">
              <a:solidFill>
                <a:srgbClr val="0070C0"/>
              </a:solidFill>
              <a:round/>
            </a:ln>
            <a:effectLst/>
          </c:spPr>
          <c:marker>
            <c:symbol val="none"/>
          </c:marker>
          <c:cat>
            <c:numRef>
              <c:f>'RT y EBITDA 14 y 20'!$A$3:$A$18</c:f>
              <c:numCache>
                <c:formatCode>General</c:formatCode>
                <c:ptCount val="16"/>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numCache>
            </c:numRef>
          </c:cat>
          <c:val>
            <c:numRef>
              <c:f>'RT y EBITDA 14 y 20'!$I$3:$I$18</c:f>
              <c:numCache>
                <c:formatCode>#,##0</c:formatCode>
                <c:ptCount val="16"/>
                <c:pt idx="0">
                  <c:v>36129</c:v>
                </c:pt>
                <c:pt idx="1">
                  <c:v>37400</c:v>
                </c:pt>
                <c:pt idx="2">
                  <c:v>39436</c:v>
                </c:pt>
                <c:pt idx="3">
                  <c:v>41692</c:v>
                </c:pt>
                <c:pt idx="4">
                  <c:v>43927</c:v>
                </c:pt>
                <c:pt idx="5">
                  <c:v>45889</c:v>
                </c:pt>
                <c:pt idx="6">
                  <c:v>48664</c:v>
                </c:pt>
                <c:pt idx="7">
                  <c:v>38044</c:v>
                </c:pt>
                <c:pt idx="8">
                  <c:v>43554</c:v>
                </c:pt>
                <c:pt idx="9">
                  <c:v>46914</c:v>
                </c:pt>
                <c:pt idx="10">
                  <c:v>49777</c:v>
                </c:pt>
                <c:pt idx="11">
                  <c:v>52540</c:v>
                </c:pt>
                <c:pt idx="12">
                  <c:v>55154</c:v>
                </c:pt>
                <c:pt idx="13">
                  <c:v>58057</c:v>
                </c:pt>
                <c:pt idx="14">
                  <c:v>61112</c:v>
                </c:pt>
                <c:pt idx="15">
                  <c:v>64504</c:v>
                </c:pt>
              </c:numCache>
            </c:numRef>
          </c:val>
          <c:smooth val="0"/>
          <c:extLst xmlns:c16r2="http://schemas.microsoft.com/office/drawing/2015/06/chart">
            <c:ext xmlns:c16="http://schemas.microsoft.com/office/drawing/2014/chart" uri="{C3380CC4-5D6E-409C-BE32-E72D297353CC}">
              <c16:uniqueId val="{00000001-F599-40D0-9373-41B5C2D7FBF6}"/>
            </c:ext>
          </c:extLst>
        </c:ser>
        <c:ser>
          <c:idx val="2"/>
          <c:order val="2"/>
          <c:tx>
            <c:strRef>
              <c:f>'RT y EBITDA 14 y 20'!$L$2</c:f>
              <c:strCache>
                <c:ptCount val="1"/>
                <c:pt idx="0">
                  <c:v>Recaudación teórica PEF actualizado 2020 (C=1,65)</c:v>
                </c:pt>
              </c:strCache>
            </c:strRef>
          </c:tx>
          <c:spPr>
            <a:ln w="28575" cap="rnd">
              <a:solidFill>
                <a:srgbClr val="FF0000"/>
              </a:solidFill>
              <a:round/>
            </a:ln>
            <a:effectLst/>
          </c:spPr>
          <c:marker>
            <c:symbol val="none"/>
          </c:marker>
          <c:cat>
            <c:numRef>
              <c:f>'RT y EBITDA 14 y 20'!$A$3:$A$18</c:f>
              <c:numCache>
                <c:formatCode>General</c:formatCode>
                <c:ptCount val="16"/>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numCache>
            </c:numRef>
          </c:cat>
          <c:val>
            <c:numRef>
              <c:f>'RT y EBITDA 14 y 20'!$L$3:$L$18</c:f>
              <c:numCache>
                <c:formatCode>#,##0</c:formatCode>
                <c:ptCount val="16"/>
                <c:pt idx="0">
                  <c:v>36129</c:v>
                </c:pt>
                <c:pt idx="1">
                  <c:v>37400</c:v>
                </c:pt>
                <c:pt idx="2">
                  <c:v>39436</c:v>
                </c:pt>
                <c:pt idx="3">
                  <c:v>41692</c:v>
                </c:pt>
                <c:pt idx="4">
                  <c:v>43927</c:v>
                </c:pt>
                <c:pt idx="5">
                  <c:v>45889</c:v>
                </c:pt>
                <c:pt idx="6">
                  <c:v>48664</c:v>
                </c:pt>
                <c:pt idx="7">
                  <c:v>31024.729170000002</c:v>
                </c:pt>
                <c:pt idx="8">
                  <c:v>35517.798729999995</c:v>
                </c:pt>
                <c:pt idx="9">
                  <c:v>38257.631070000003</c:v>
                </c:pt>
                <c:pt idx="10">
                  <c:v>40592.637759999998</c:v>
                </c:pt>
                <c:pt idx="11">
                  <c:v>42845.972000000002</c:v>
                </c:pt>
                <c:pt idx="12">
                  <c:v>44977.60067</c:v>
                </c:pt>
                <c:pt idx="13">
                  <c:v>47344.636859999999</c:v>
                </c:pt>
                <c:pt idx="14">
                  <c:v>49836.243060000001</c:v>
                </c:pt>
                <c:pt idx="15">
                  <c:v>52602.698240000005</c:v>
                </c:pt>
              </c:numCache>
            </c:numRef>
          </c:val>
          <c:smooth val="0"/>
          <c:extLst xmlns:c16r2="http://schemas.microsoft.com/office/drawing/2015/06/chart">
            <c:ext xmlns:c16="http://schemas.microsoft.com/office/drawing/2014/chart" uri="{C3380CC4-5D6E-409C-BE32-E72D297353CC}">
              <c16:uniqueId val="{00000002-F599-40D0-9373-41B5C2D7FBF6}"/>
            </c:ext>
          </c:extLst>
        </c:ser>
        <c:dLbls>
          <c:showLegendKey val="0"/>
          <c:showVal val="0"/>
          <c:showCatName val="0"/>
          <c:showSerName val="0"/>
          <c:showPercent val="0"/>
          <c:showBubbleSize val="0"/>
        </c:dLbls>
        <c:marker val="1"/>
        <c:smooth val="0"/>
        <c:axId val="152933504"/>
        <c:axId val="153101824"/>
      </c:lineChart>
      <c:catAx>
        <c:axId val="15293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53101824"/>
        <c:crosses val="autoZero"/>
        <c:auto val="1"/>
        <c:lblAlgn val="ctr"/>
        <c:lblOffset val="100"/>
        <c:noMultiLvlLbl val="0"/>
      </c:catAx>
      <c:valAx>
        <c:axId val="1531018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52933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Compensación </a:t>
            </a:r>
          </a:p>
        </c:rich>
      </c:tx>
      <c:overlay val="0"/>
      <c:spPr>
        <a:solidFill>
          <a:sysClr val="window" lastClr="FFFFFF"/>
        </a:solidFill>
        <a:ln>
          <a:noFill/>
        </a:ln>
        <a:effectLst/>
      </c:spPr>
    </c:title>
    <c:autoTitleDeleted val="0"/>
    <c:plotArea>
      <c:layout/>
      <c:lineChart>
        <c:grouping val="standard"/>
        <c:varyColors val="0"/>
        <c:ser>
          <c:idx val="2"/>
          <c:order val="0"/>
          <c:tx>
            <c:strRef>
              <c:f>'Gráficos corregido'!$M$5</c:f>
              <c:strCache>
                <c:ptCount val="1"/>
                <c:pt idx="0">
                  <c:v>AÑOS</c:v>
                </c:pt>
              </c:strCache>
            </c:strRef>
          </c:tx>
          <c:spPr>
            <a:ln w="28575" cap="rnd">
              <a:solidFill>
                <a:schemeClr val="accent3"/>
              </a:solidFill>
              <a:round/>
            </a:ln>
            <a:effectLst/>
          </c:spPr>
          <c:marker>
            <c:symbol val="none"/>
          </c:marker>
          <c:cat>
            <c:numRef>
              <c:f>'Gráficos corregido'!$M$6:$M$22</c:f>
              <c:numCache>
                <c:formatCode>General</c:formatCode>
                <c:ptCount val="17"/>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numCache>
            </c:numRef>
          </c:cat>
          <c:val>
            <c:numRef>
              <c:f>'Gráficos corregido'!$M$6:$M$21</c:f>
              <c:numCache>
                <c:formatCode>General</c:formatCode>
                <c:ptCount val="16"/>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numCache>
            </c:numRef>
          </c:val>
          <c:smooth val="0"/>
          <c:extLst xmlns:c16r2="http://schemas.microsoft.com/office/drawing/2015/06/chart">
            <c:ext xmlns:c16="http://schemas.microsoft.com/office/drawing/2014/chart" uri="{C3380CC4-5D6E-409C-BE32-E72D297353CC}">
              <c16:uniqueId val="{00000000-BA5A-4D14-8471-2A7888F19814}"/>
            </c:ext>
          </c:extLst>
        </c:ser>
        <c:ser>
          <c:idx val="1"/>
          <c:order val="1"/>
          <c:tx>
            <c:strRef>
              <c:f>'Gráficos corregido'!$P$5</c:f>
              <c:strCache>
                <c:ptCount val="1"/>
                <c:pt idx="0">
                  <c:v>Compensación PEF 2014</c:v>
                </c:pt>
              </c:strCache>
            </c:strRef>
          </c:tx>
          <c:spPr>
            <a:ln w="28575" cap="rnd">
              <a:solidFill>
                <a:srgbClr val="00B050"/>
              </a:solidFill>
              <a:round/>
            </a:ln>
            <a:effectLst/>
          </c:spPr>
          <c:marker>
            <c:symbol val="none"/>
          </c:marker>
          <c:cat>
            <c:numRef>
              <c:f>'Gráficos corregido'!$M$6:$M$22</c:f>
              <c:numCache>
                <c:formatCode>General</c:formatCode>
                <c:ptCount val="17"/>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numCache>
            </c:numRef>
          </c:cat>
          <c:val>
            <c:numRef>
              <c:f>'Gráficos corregido'!$P$6:$P$21</c:f>
              <c:numCache>
                <c:formatCode>#,##0</c:formatCode>
                <c:ptCount val="16"/>
                <c:pt idx="0">
                  <c:v>9465000</c:v>
                </c:pt>
                <c:pt idx="1">
                  <c:v>9368000</c:v>
                </c:pt>
                <c:pt idx="2">
                  <c:v>9858000</c:v>
                </c:pt>
                <c:pt idx="3">
                  <c:v>10468000</c:v>
                </c:pt>
                <c:pt idx="4">
                  <c:v>10893000</c:v>
                </c:pt>
                <c:pt idx="5">
                  <c:v>11467000</c:v>
                </c:pt>
                <c:pt idx="6">
                  <c:v>12070000</c:v>
                </c:pt>
                <c:pt idx="7">
                  <c:v>12840000</c:v>
                </c:pt>
                <c:pt idx="8">
                  <c:v>13373000</c:v>
                </c:pt>
                <c:pt idx="9">
                  <c:v>14078000</c:v>
                </c:pt>
                <c:pt idx="10">
                  <c:v>14818000</c:v>
                </c:pt>
                <c:pt idx="11">
                  <c:v>15763000</c:v>
                </c:pt>
                <c:pt idx="12">
                  <c:v>16419000</c:v>
                </c:pt>
                <c:pt idx="13">
                  <c:v>17283000</c:v>
                </c:pt>
                <c:pt idx="14">
                  <c:v>18192000</c:v>
                </c:pt>
                <c:pt idx="15">
                  <c:v>19353000</c:v>
                </c:pt>
              </c:numCache>
            </c:numRef>
          </c:val>
          <c:smooth val="0"/>
          <c:extLst xmlns:c16r2="http://schemas.microsoft.com/office/drawing/2015/06/chart">
            <c:ext xmlns:c16="http://schemas.microsoft.com/office/drawing/2014/chart" uri="{C3380CC4-5D6E-409C-BE32-E72D297353CC}">
              <c16:uniqueId val="{00000001-BA5A-4D14-8471-2A7888F19814}"/>
            </c:ext>
          </c:extLst>
        </c:ser>
        <c:ser>
          <c:idx val="3"/>
          <c:order val="2"/>
          <c:tx>
            <c:strRef>
              <c:f>'Gráficos corregido'!$R$5</c:f>
              <c:strCache>
                <c:ptCount val="1"/>
                <c:pt idx="0">
                  <c:v>Compensación PEF actualizado 2020 (C=1)</c:v>
                </c:pt>
              </c:strCache>
            </c:strRef>
          </c:tx>
          <c:spPr>
            <a:ln w="28575" cap="rnd">
              <a:solidFill>
                <a:srgbClr val="0070C0"/>
              </a:solidFill>
              <a:round/>
            </a:ln>
            <a:effectLst/>
          </c:spPr>
          <c:marker>
            <c:symbol val="none"/>
          </c:marker>
          <c:cat>
            <c:numRef>
              <c:f>'Gráficos corregido'!$M$6:$M$22</c:f>
              <c:numCache>
                <c:formatCode>General</c:formatCode>
                <c:ptCount val="17"/>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numCache>
            </c:numRef>
          </c:cat>
          <c:val>
            <c:numRef>
              <c:f>'Gráficos corregido'!$R$6:$R$21</c:f>
              <c:numCache>
                <c:formatCode>#,##0</c:formatCode>
                <c:ptCount val="16"/>
                <c:pt idx="0">
                  <c:v>9465000</c:v>
                </c:pt>
                <c:pt idx="1">
                  <c:v>10224000</c:v>
                </c:pt>
                <c:pt idx="2">
                  <c:v>10711000</c:v>
                </c:pt>
                <c:pt idx="3">
                  <c:v>11799000</c:v>
                </c:pt>
                <c:pt idx="4">
                  <c:v>12732000</c:v>
                </c:pt>
                <c:pt idx="5">
                  <c:v>14060000</c:v>
                </c:pt>
                <c:pt idx="6">
                  <c:v>15787000</c:v>
                </c:pt>
                <c:pt idx="7">
                  <c:v>14532000</c:v>
                </c:pt>
                <c:pt idx="8">
                  <c:v>13056000</c:v>
                </c:pt>
                <c:pt idx="9">
                  <c:v>14064000</c:v>
                </c:pt>
                <c:pt idx="10">
                  <c:v>14922000</c:v>
                </c:pt>
                <c:pt idx="11">
                  <c:v>15851000</c:v>
                </c:pt>
                <c:pt idx="12">
                  <c:v>16534000</c:v>
                </c:pt>
                <c:pt idx="13">
                  <c:v>17404000</c:v>
                </c:pt>
                <c:pt idx="14">
                  <c:v>18320000</c:v>
                </c:pt>
                <c:pt idx="15">
                  <c:v>19460000</c:v>
                </c:pt>
              </c:numCache>
            </c:numRef>
          </c:val>
          <c:smooth val="0"/>
          <c:extLst xmlns:c16r2="http://schemas.microsoft.com/office/drawing/2015/06/chart">
            <c:ext xmlns:c16="http://schemas.microsoft.com/office/drawing/2014/chart" uri="{C3380CC4-5D6E-409C-BE32-E72D297353CC}">
              <c16:uniqueId val="{00000002-BA5A-4D14-8471-2A7888F19814}"/>
            </c:ext>
          </c:extLst>
        </c:ser>
        <c:ser>
          <c:idx val="4"/>
          <c:order val="3"/>
          <c:tx>
            <c:strRef>
              <c:f>'Gráficos corregido'!$S$5</c:f>
              <c:strCache>
                <c:ptCount val="1"/>
                <c:pt idx="0">
                  <c:v>Compensación PEF actualizado 2020 (C=1,65)</c:v>
                </c:pt>
              </c:strCache>
            </c:strRef>
          </c:tx>
          <c:spPr>
            <a:ln w="28575" cap="rnd">
              <a:solidFill>
                <a:srgbClr val="FF0000"/>
              </a:solidFill>
              <a:round/>
            </a:ln>
            <a:effectLst/>
          </c:spPr>
          <c:marker>
            <c:symbol val="none"/>
          </c:marker>
          <c:cat>
            <c:numRef>
              <c:f>'Gráficos corregido'!$M$6:$M$22</c:f>
              <c:numCache>
                <c:formatCode>General</c:formatCode>
                <c:ptCount val="17"/>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numCache>
            </c:numRef>
          </c:cat>
          <c:val>
            <c:numRef>
              <c:f>'Gráficos corregido'!$S$6:$S$21</c:f>
              <c:numCache>
                <c:formatCode>#,##0</c:formatCode>
                <c:ptCount val="16"/>
                <c:pt idx="0">
                  <c:v>9464762.2199999988</c:v>
                </c:pt>
                <c:pt idx="1">
                  <c:v>10224162.509999998</c:v>
                </c:pt>
                <c:pt idx="2">
                  <c:v>10710609.660000004</c:v>
                </c:pt>
                <c:pt idx="3">
                  <c:v>11798569.030000005</c:v>
                </c:pt>
                <c:pt idx="4">
                  <c:v>12731768.770000007</c:v>
                </c:pt>
                <c:pt idx="5">
                  <c:v>14059601.390000001</c:v>
                </c:pt>
                <c:pt idx="6">
                  <c:v>15787118.43</c:v>
                </c:pt>
                <c:pt idx="7">
                  <c:v>7512719.4500000067</c:v>
                </c:pt>
                <c:pt idx="8" formatCode="#,##0.00">
                  <c:v>5019798.7299999967</c:v>
                </c:pt>
                <c:pt idx="9" formatCode="#,##0.00">
                  <c:v>5407631.0700000003</c:v>
                </c:pt>
                <c:pt idx="10" formatCode="#,##0.00">
                  <c:v>5737637.7599999979</c:v>
                </c:pt>
                <c:pt idx="11" formatCode="#,##0.00">
                  <c:v>6156972</c:v>
                </c:pt>
                <c:pt idx="12" formatCode="#,##0.00">
                  <c:v>6357600.6700000018</c:v>
                </c:pt>
                <c:pt idx="13" formatCode="#,##0.00">
                  <c:v>6691636.8599999994</c:v>
                </c:pt>
                <c:pt idx="14" formatCode="#,##0.00">
                  <c:v>7044243.0600000024</c:v>
                </c:pt>
                <c:pt idx="15" formatCode="#,##0.00">
                  <c:v>7558698.2400000021</c:v>
                </c:pt>
              </c:numCache>
            </c:numRef>
          </c:val>
          <c:smooth val="0"/>
          <c:extLst xmlns:c16r2="http://schemas.microsoft.com/office/drawing/2015/06/chart">
            <c:ext xmlns:c16="http://schemas.microsoft.com/office/drawing/2014/chart" uri="{C3380CC4-5D6E-409C-BE32-E72D297353CC}">
              <c16:uniqueId val="{00000003-BA5A-4D14-8471-2A7888F19814}"/>
            </c:ext>
          </c:extLst>
        </c:ser>
        <c:dLbls>
          <c:showLegendKey val="0"/>
          <c:showVal val="0"/>
          <c:showCatName val="0"/>
          <c:showSerName val="0"/>
          <c:showPercent val="0"/>
          <c:showBubbleSize val="0"/>
        </c:dLbls>
        <c:marker val="1"/>
        <c:smooth val="0"/>
        <c:axId val="48392064"/>
        <c:axId val="48393600"/>
        <c:extLst xmlns:c16r2="http://schemas.microsoft.com/office/drawing/2015/06/chart">
          <c:ext xmlns:c15="http://schemas.microsoft.com/office/drawing/2012/chart" uri="{02D57815-91ED-43cb-92C2-25804820EDAC}">
            <c15:filteredLineSeries>
              <c15:ser>
                <c:idx val="0"/>
                <c:order val="1"/>
                <c:tx>
                  <c:strRef>
                    <c:extLst>
                      <c:ext uri="{02D57815-91ED-43cb-92C2-25804820EDAC}">
                        <c15:formulaRef>
                          <c15:sqref>'Gráficos corregido'!$N$5</c15:sqref>
                        </c15:formulaRef>
                      </c:ext>
                    </c:extLst>
                    <c:strCache>
                      <c:ptCount val="1"/>
                      <c:pt idx="0">
                        <c:v>Compensación GN (real hasta 2020 y resto calculada)</c:v>
                      </c:pt>
                    </c:strCache>
                  </c:strRef>
                </c:tx>
                <c:spPr>
                  <a:ln w="28575" cap="rnd">
                    <a:solidFill>
                      <a:schemeClr val="accent1"/>
                    </a:solidFill>
                    <a:round/>
                  </a:ln>
                  <a:effectLst/>
                </c:spPr>
                <c:marker>
                  <c:symbol val="none"/>
                </c:marker>
                <c:cat>
                  <c:numRef>
                    <c:extLst>
                      <c:ext uri="{02D57815-91ED-43cb-92C2-25804820EDAC}">
                        <c15:formulaRef>
                          <c15:sqref>'Gráficos corregido'!$M$6:$M$22</c15:sqref>
                        </c15:formulaRef>
                      </c:ext>
                    </c:extLst>
                    <c:numCache>
                      <c:formatCode>General</c:formatCode>
                      <c:ptCount val="17"/>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numCache>
                  </c:numRef>
                </c:cat>
                <c:val>
                  <c:numRef>
                    <c:extLst>
                      <c:ext uri="{02D57815-91ED-43cb-92C2-25804820EDAC}">
                        <c15:formulaRef>
                          <c15:sqref>'Gráficos corregido'!$N$6:$N$21</c15:sqref>
                        </c15:formulaRef>
                      </c:ext>
                    </c:extLst>
                    <c:numCache>
                      <c:formatCode>#,##0.00</c:formatCode>
                      <c:ptCount val="16"/>
                      <c:pt idx="0">
                        <c:v>9464762.2199999988</c:v>
                      </c:pt>
                      <c:pt idx="1">
                        <c:v>10224162.509999998</c:v>
                      </c:pt>
                      <c:pt idx="2">
                        <c:v>10710609.660000004</c:v>
                      </c:pt>
                      <c:pt idx="3">
                        <c:v>11798569.030000005</c:v>
                      </c:pt>
                      <c:pt idx="4">
                        <c:v>12731768.770000007</c:v>
                      </c:pt>
                      <c:pt idx="5">
                        <c:v>14059601.390000001</c:v>
                      </c:pt>
                      <c:pt idx="6">
                        <c:v>15787118.43</c:v>
                      </c:pt>
                      <c:pt idx="7" formatCode="#,##0">
                        <c:v>14532279.040000003</c:v>
                      </c:pt>
                      <c:pt idx="8" formatCode="#,##0">
                        <c:v>13055946.390000001</c:v>
                      </c:pt>
                      <c:pt idx="9" formatCode="#,##0">
                        <c:v>14063684.75</c:v>
                      </c:pt>
                      <c:pt idx="10" formatCode="#,##0">
                        <c:v>14922002.859999999</c:v>
                      </c:pt>
                      <c:pt idx="11" formatCode="#,##0">
                        <c:v>15851169.57</c:v>
                      </c:pt>
                      <c:pt idx="12" formatCode="#,##0">
                        <c:v>16534093.969999999</c:v>
                      </c:pt>
                      <c:pt idx="13" formatCode="#,##0">
                        <c:v>17403688.469999999</c:v>
                      </c:pt>
                      <c:pt idx="14" formatCode="#,##0">
                        <c:v>18320037.810000002</c:v>
                      </c:pt>
                      <c:pt idx="15" formatCode="#,##0">
                        <c:v>19460422.619999997</c:v>
                      </c:pt>
                    </c:numCache>
                  </c:numRef>
                </c:val>
                <c:smooth val="0"/>
                <c:extLst>
                  <c:ext xmlns:c16="http://schemas.microsoft.com/office/drawing/2014/chart" uri="{C3380CC4-5D6E-409C-BE32-E72D297353CC}">
                    <c16:uniqueId val="{00000004-BA5A-4D14-8471-2A7888F19814}"/>
                  </c:ext>
                </c:extLst>
              </c15:ser>
            </c15:filteredLineSeries>
          </c:ext>
        </c:extLst>
      </c:lineChart>
      <c:catAx>
        <c:axId val="483920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ES"/>
          </a:p>
        </c:txPr>
        <c:crossAx val="48393600"/>
        <c:crosses val="autoZero"/>
        <c:auto val="1"/>
        <c:lblAlgn val="ctr"/>
        <c:lblOffset val="100"/>
        <c:noMultiLvlLbl val="0"/>
      </c:catAx>
      <c:valAx>
        <c:axId val="48393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8392064"/>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Resultado de Explotación</a:t>
            </a:r>
          </a:p>
          <a:p>
            <a:pPr>
              <a:defRPr sz="1400" b="0" i="0" u="none" strike="noStrike" kern="1200" spc="0" baseline="0">
                <a:solidFill>
                  <a:schemeClr val="tx1">
                    <a:lumMod val="65000"/>
                    <a:lumOff val="35000"/>
                  </a:schemeClr>
                </a:solidFill>
                <a:latin typeface="+mn-lt"/>
                <a:ea typeface="+mn-ea"/>
                <a:cs typeface="+mn-cs"/>
              </a:defRPr>
            </a:pPr>
            <a:endParaRPr lang="es-ES"/>
          </a:p>
        </c:rich>
      </c:tx>
      <c:overlay val="0"/>
      <c:spPr>
        <a:noFill/>
        <a:ln>
          <a:noFill/>
        </a:ln>
        <a:effectLst/>
      </c:spPr>
    </c:title>
    <c:autoTitleDeleted val="0"/>
    <c:plotArea>
      <c:layout/>
      <c:lineChart>
        <c:grouping val="standard"/>
        <c:varyColors val="0"/>
        <c:ser>
          <c:idx val="1"/>
          <c:order val="0"/>
          <c:tx>
            <c:strRef>
              <c:f>'RT y EBITDA 14 y 20'!$C$2</c:f>
              <c:strCache>
                <c:ptCount val="1"/>
                <c:pt idx="0">
                  <c:v>Rdo explotación PEF 2014</c:v>
                </c:pt>
              </c:strCache>
            </c:strRef>
          </c:tx>
          <c:spPr>
            <a:ln w="28575" cap="rnd">
              <a:solidFill>
                <a:srgbClr val="00B050"/>
              </a:solidFill>
              <a:round/>
            </a:ln>
            <a:effectLst/>
          </c:spPr>
          <c:marker>
            <c:symbol val="none"/>
          </c:marker>
          <c:cat>
            <c:numRef>
              <c:f>'RT y EBITDA 14 y 20'!$A$3:$A$18</c:f>
              <c:numCache>
                <c:formatCode>General</c:formatCode>
                <c:ptCount val="16"/>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numCache>
            </c:numRef>
          </c:cat>
          <c:val>
            <c:numRef>
              <c:f>'RT y EBITDA 14 y 20'!$C$3:$C$18</c:f>
              <c:numCache>
                <c:formatCode>#,##0</c:formatCode>
                <c:ptCount val="16"/>
                <c:pt idx="0">
                  <c:v>14390</c:v>
                </c:pt>
                <c:pt idx="1">
                  <c:v>13039</c:v>
                </c:pt>
                <c:pt idx="2">
                  <c:v>14269</c:v>
                </c:pt>
                <c:pt idx="3">
                  <c:v>16155</c:v>
                </c:pt>
                <c:pt idx="4">
                  <c:v>18203</c:v>
                </c:pt>
                <c:pt idx="5">
                  <c:v>20373</c:v>
                </c:pt>
                <c:pt idx="6">
                  <c:v>22775</c:v>
                </c:pt>
                <c:pt idx="7">
                  <c:v>25406</c:v>
                </c:pt>
                <c:pt idx="8">
                  <c:v>28422</c:v>
                </c:pt>
                <c:pt idx="9">
                  <c:v>31038</c:v>
                </c:pt>
                <c:pt idx="10">
                  <c:v>33899</c:v>
                </c:pt>
                <c:pt idx="11">
                  <c:v>36896</c:v>
                </c:pt>
                <c:pt idx="12">
                  <c:v>40084</c:v>
                </c:pt>
                <c:pt idx="13">
                  <c:v>43455</c:v>
                </c:pt>
                <c:pt idx="14">
                  <c:v>47094</c:v>
                </c:pt>
                <c:pt idx="15">
                  <c:v>50857</c:v>
                </c:pt>
              </c:numCache>
            </c:numRef>
          </c:val>
          <c:smooth val="0"/>
          <c:extLst xmlns:c16r2="http://schemas.microsoft.com/office/drawing/2015/06/chart">
            <c:ext xmlns:c16="http://schemas.microsoft.com/office/drawing/2014/chart" uri="{C3380CC4-5D6E-409C-BE32-E72D297353CC}">
              <c16:uniqueId val="{00000000-A0F4-4255-92D0-CDAD75528169}"/>
            </c:ext>
          </c:extLst>
        </c:ser>
        <c:ser>
          <c:idx val="2"/>
          <c:order val="1"/>
          <c:tx>
            <c:strRef>
              <c:f>'RT y EBITDA 14 y 20'!$J$2</c:f>
              <c:strCache>
                <c:ptCount val="1"/>
                <c:pt idx="0">
                  <c:v>Rdo explotación PEF actualizado 2020 (C=1)</c:v>
                </c:pt>
              </c:strCache>
            </c:strRef>
          </c:tx>
          <c:spPr>
            <a:ln w="28575" cap="rnd">
              <a:solidFill>
                <a:srgbClr val="0070C0"/>
              </a:solidFill>
              <a:round/>
            </a:ln>
            <a:effectLst/>
          </c:spPr>
          <c:marker>
            <c:symbol val="none"/>
          </c:marker>
          <c:cat>
            <c:numRef>
              <c:f>'RT y EBITDA 14 y 20'!$A$3:$A$18</c:f>
              <c:numCache>
                <c:formatCode>General</c:formatCode>
                <c:ptCount val="16"/>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numCache>
            </c:numRef>
          </c:cat>
          <c:val>
            <c:numRef>
              <c:f>'RT y EBITDA 14 y 20'!$J$3:$J$18</c:f>
              <c:numCache>
                <c:formatCode>#,##0</c:formatCode>
                <c:ptCount val="16"/>
                <c:pt idx="0">
                  <c:v>14390</c:v>
                </c:pt>
                <c:pt idx="1">
                  <c:v>15546</c:v>
                </c:pt>
                <c:pt idx="2">
                  <c:v>18008</c:v>
                </c:pt>
                <c:pt idx="3">
                  <c:v>19941</c:v>
                </c:pt>
                <c:pt idx="4">
                  <c:v>22327</c:v>
                </c:pt>
                <c:pt idx="5">
                  <c:v>24368</c:v>
                </c:pt>
                <c:pt idx="6">
                  <c:v>28590</c:v>
                </c:pt>
                <c:pt idx="7">
                  <c:v>18970</c:v>
                </c:pt>
                <c:pt idx="8">
                  <c:v>23964</c:v>
                </c:pt>
                <c:pt idx="9">
                  <c:v>27612</c:v>
                </c:pt>
                <c:pt idx="10">
                  <c:v>30618</c:v>
                </c:pt>
                <c:pt idx="11">
                  <c:v>33368</c:v>
                </c:pt>
                <c:pt idx="12">
                  <c:v>36326</c:v>
                </c:pt>
                <c:pt idx="13">
                  <c:v>39397</c:v>
                </c:pt>
                <c:pt idx="14">
                  <c:v>42828</c:v>
                </c:pt>
                <c:pt idx="15">
                  <c:v>46376</c:v>
                </c:pt>
              </c:numCache>
            </c:numRef>
          </c:val>
          <c:smooth val="0"/>
          <c:extLst xmlns:c16r2="http://schemas.microsoft.com/office/drawing/2015/06/chart">
            <c:ext xmlns:c16="http://schemas.microsoft.com/office/drawing/2014/chart" uri="{C3380CC4-5D6E-409C-BE32-E72D297353CC}">
              <c16:uniqueId val="{00000001-A0F4-4255-92D0-CDAD75528169}"/>
            </c:ext>
          </c:extLst>
        </c:ser>
        <c:ser>
          <c:idx val="3"/>
          <c:order val="2"/>
          <c:tx>
            <c:strRef>
              <c:f>'RT y EBITDA 14 y 20'!$M$2</c:f>
              <c:strCache>
                <c:ptCount val="1"/>
                <c:pt idx="0">
                  <c:v>Rdo explotación PEF actualizado 2020 (C=1,65)</c:v>
                </c:pt>
              </c:strCache>
            </c:strRef>
          </c:tx>
          <c:spPr>
            <a:ln w="28575" cap="rnd">
              <a:solidFill>
                <a:srgbClr val="FF0000"/>
              </a:solidFill>
              <a:round/>
            </a:ln>
            <a:effectLst/>
          </c:spPr>
          <c:marker>
            <c:symbol val="none"/>
          </c:marker>
          <c:cat>
            <c:numRef>
              <c:f>'RT y EBITDA 14 y 20'!$A$3:$A$18</c:f>
              <c:numCache>
                <c:formatCode>General</c:formatCode>
                <c:ptCount val="16"/>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numCache>
            </c:numRef>
          </c:cat>
          <c:val>
            <c:numRef>
              <c:f>'RT y EBITDA 14 y 20'!$M$3:$M$18</c:f>
              <c:numCache>
                <c:formatCode>#,##0</c:formatCode>
                <c:ptCount val="16"/>
                <c:pt idx="0">
                  <c:v>14390</c:v>
                </c:pt>
                <c:pt idx="1">
                  <c:v>15456</c:v>
                </c:pt>
                <c:pt idx="2">
                  <c:v>18008</c:v>
                </c:pt>
                <c:pt idx="3">
                  <c:v>19941</c:v>
                </c:pt>
                <c:pt idx="4">
                  <c:v>22327</c:v>
                </c:pt>
                <c:pt idx="5">
                  <c:v>24368</c:v>
                </c:pt>
                <c:pt idx="6">
                  <c:v>28590</c:v>
                </c:pt>
                <c:pt idx="7">
                  <c:v>11950.729170000006</c:v>
                </c:pt>
                <c:pt idx="8">
                  <c:v>15927.798729999995</c:v>
                </c:pt>
                <c:pt idx="9">
                  <c:v>18955.631070000003</c:v>
                </c:pt>
                <c:pt idx="10">
                  <c:v>21433.637759999998</c:v>
                </c:pt>
                <c:pt idx="11">
                  <c:v>23673.972000000002</c:v>
                </c:pt>
                <c:pt idx="12">
                  <c:v>26149.60067</c:v>
                </c:pt>
                <c:pt idx="13">
                  <c:v>28684.636859999999</c:v>
                </c:pt>
                <c:pt idx="14">
                  <c:v>31552.243060000001</c:v>
                </c:pt>
                <c:pt idx="15">
                  <c:v>34474.698240000005</c:v>
                </c:pt>
              </c:numCache>
            </c:numRef>
          </c:val>
          <c:smooth val="0"/>
          <c:extLst xmlns:c16r2="http://schemas.microsoft.com/office/drawing/2015/06/chart">
            <c:ext xmlns:c16="http://schemas.microsoft.com/office/drawing/2014/chart" uri="{C3380CC4-5D6E-409C-BE32-E72D297353CC}">
              <c16:uniqueId val="{00000002-A0F4-4255-92D0-CDAD75528169}"/>
            </c:ext>
          </c:extLst>
        </c:ser>
        <c:dLbls>
          <c:showLegendKey val="0"/>
          <c:showVal val="0"/>
          <c:showCatName val="0"/>
          <c:showSerName val="0"/>
          <c:showPercent val="0"/>
          <c:showBubbleSize val="0"/>
        </c:dLbls>
        <c:marker val="1"/>
        <c:smooth val="0"/>
        <c:axId val="48421504"/>
        <c:axId val="48423296"/>
      </c:lineChart>
      <c:catAx>
        <c:axId val="48421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8423296"/>
        <c:crosses val="autoZero"/>
        <c:auto val="1"/>
        <c:lblAlgn val="ctr"/>
        <c:lblOffset val="100"/>
        <c:noMultiLvlLbl val="0"/>
      </c:catAx>
      <c:valAx>
        <c:axId val="48423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8421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EBITDA</a:t>
            </a:r>
          </a:p>
        </c:rich>
      </c:tx>
      <c:overlay val="0"/>
      <c:spPr>
        <a:noFill/>
        <a:ln>
          <a:noFill/>
        </a:ln>
        <a:effectLst/>
      </c:spPr>
    </c:title>
    <c:autoTitleDeleted val="0"/>
    <c:plotArea>
      <c:layout/>
      <c:lineChart>
        <c:grouping val="standard"/>
        <c:varyColors val="0"/>
        <c:ser>
          <c:idx val="1"/>
          <c:order val="0"/>
          <c:tx>
            <c:strRef>
              <c:f>'RT y EBITDA 14 y 20'!$D$2</c:f>
              <c:strCache>
                <c:ptCount val="1"/>
                <c:pt idx="0">
                  <c:v>EBITDA PEF 2014</c:v>
                </c:pt>
              </c:strCache>
            </c:strRef>
          </c:tx>
          <c:spPr>
            <a:ln w="28575" cap="rnd">
              <a:solidFill>
                <a:srgbClr val="00B050"/>
              </a:solidFill>
              <a:round/>
            </a:ln>
            <a:effectLst/>
          </c:spPr>
          <c:marker>
            <c:symbol val="none"/>
          </c:marker>
          <c:cat>
            <c:numRef>
              <c:f>'RT y EBITDA 14 y 20'!$A$3:$A$18</c:f>
              <c:numCache>
                <c:formatCode>General</c:formatCode>
                <c:ptCount val="16"/>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numCache>
            </c:numRef>
          </c:cat>
          <c:val>
            <c:numRef>
              <c:f>'RT y EBITDA 14 y 20'!$D$3:$D$18</c:f>
              <c:numCache>
                <c:formatCode>#,##0</c:formatCode>
                <c:ptCount val="16"/>
                <c:pt idx="0">
                  <c:v>29277</c:v>
                </c:pt>
                <c:pt idx="1">
                  <c:v>28628</c:v>
                </c:pt>
                <c:pt idx="2">
                  <c:v>29865</c:v>
                </c:pt>
                <c:pt idx="3">
                  <c:v>31732</c:v>
                </c:pt>
                <c:pt idx="4">
                  <c:v>33630</c:v>
                </c:pt>
                <c:pt idx="5">
                  <c:v>35674</c:v>
                </c:pt>
                <c:pt idx="6">
                  <c:v>37831</c:v>
                </c:pt>
                <c:pt idx="7">
                  <c:v>40108</c:v>
                </c:pt>
                <c:pt idx="8">
                  <c:v>42512</c:v>
                </c:pt>
                <c:pt idx="9">
                  <c:v>45048</c:v>
                </c:pt>
                <c:pt idx="10">
                  <c:v>47725</c:v>
                </c:pt>
                <c:pt idx="11">
                  <c:v>50549</c:v>
                </c:pt>
                <c:pt idx="12">
                  <c:v>53529</c:v>
                </c:pt>
                <c:pt idx="13">
                  <c:v>56673</c:v>
                </c:pt>
                <c:pt idx="14">
                  <c:v>59989</c:v>
                </c:pt>
                <c:pt idx="15">
                  <c:v>63488</c:v>
                </c:pt>
              </c:numCache>
            </c:numRef>
          </c:val>
          <c:smooth val="0"/>
          <c:extLst xmlns:c16r2="http://schemas.microsoft.com/office/drawing/2015/06/chart">
            <c:ext xmlns:c16="http://schemas.microsoft.com/office/drawing/2014/chart" uri="{C3380CC4-5D6E-409C-BE32-E72D297353CC}">
              <c16:uniqueId val="{00000000-BEA1-4FC1-8F5F-89A703714FE0}"/>
            </c:ext>
          </c:extLst>
        </c:ser>
        <c:ser>
          <c:idx val="2"/>
          <c:order val="1"/>
          <c:tx>
            <c:strRef>
              <c:f>'RT y EBITDA 14 y 20'!$K$2</c:f>
              <c:strCache>
                <c:ptCount val="1"/>
                <c:pt idx="0">
                  <c:v>EBITDA PEF actualizado 2020 (C=1)</c:v>
                </c:pt>
              </c:strCache>
            </c:strRef>
          </c:tx>
          <c:spPr>
            <a:ln w="28575" cap="rnd">
              <a:solidFill>
                <a:srgbClr val="0070C0"/>
              </a:solidFill>
              <a:round/>
            </a:ln>
            <a:effectLst/>
          </c:spPr>
          <c:marker>
            <c:symbol val="none"/>
          </c:marker>
          <c:cat>
            <c:numRef>
              <c:f>'RT y EBITDA 14 y 20'!$A$3:$A$18</c:f>
              <c:numCache>
                <c:formatCode>General</c:formatCode>
                <c:ptCount val="16"/>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numCache>
            </c:numRef>
          </c:cat>
          <c:val>
            <c:numRef>
              <c:f>'RT y EBITDA 14 y 20'!$K$3:$K$18</c:f>
              <c:numCache>
                <c:formatCode>#,##0</c:formatCode>
                <c:ptCount val="16"/>
                <c:pt idx="0">
                  <c:v>29277</c:v>
                </c:pt>
                <c:pt idx="1">
                  <c:v>30510</c:v>
                </c:pt>
                <c:pt idx="2">
                  <c:v>32389</c:v>
                </c:pt>
                <c:pt idx="3">
                  <c:v>34905</c:v>
                </c:pt>
                <c:pt idx="4">
                  <c:v>37238</c:v>
                </c:pt>
                <c:pt idx="5">
                  <c:v>39343</c:v>
                </c:pt>
                <c:pt idx="6">
                  <c:v>43352</c:v>
                </c:pt>
                <c:pt idx="7">
                  <c:v>33515</c:v>
                </c:pt>
                <c:pt idx="8">
                  <c:v>38933</c:v>
                </c:pt>
                <c:pt idx="9">
                  <c:v>42207</c:v>
                </c:pt>
                <c:pt idx="10">
                  <c:v>44988</c:v>
                </c:pt>
                <c:pt idx="11">
                  <c:v>47524</c:v>
                </c:pt>
                <c:pt idx="12">
                  <c:v>50197</c:v>
                </c:pt>
                <c:pt idx="13">
                  <c:v>53014</c:v>
                </c:pt>
                <c:pt idx="14">
                  <c:v>55984</c:v>
                </c:pt>
                <c:pt idx="15">
                  <c:v>59114</c:v>
                </c:pt>
              </c:numCache>
            </c:numRef>
          </c:val>
          <c:smooth val="0"/>
          <c:extLst xmlns:c16r2="http://schemas.microsoft.com/office/drawing/2015/06/chart">
            <c:ext xmlns:c16="http://schemas.microsoft.com/office/drawing/2014/chart" uri="{C3380CC4-5D6E-409C-BE32-E72D297353CC}">
              <c16:uniqueId val="{00000001-BEA1-4FC1-8F5F-89A703714FE0}"/>
            </c:ext>
          </c:extLst>
        </c:ser>
        <c:ser>
          <c:idx val="3"/>
          <c:order val="2"/>
          <c:tx>
            <c:strRef>
              <c:f>'RT y EBITDA 14 y 20'!$N$2</c:f>
              <c:strCache>
                <c:ptCount val="1"/>
                <c:pt idx="0">
                  <c:v>EBITDA PEF actualizado 2020 (C=1,65)</c:v>
                </c:pt>
              </c:strCache>
            </c:strRef>
          </c:tx>
          <c:spPr>
            <a:ln w="28575" cap="rnd">
              <a:solidFill>
                <a:srgbClr val="FF0000"/>
              </a:solidFill>
              <a:round/>
            </a:ln>
            <a:effectLst/>
          </c:spPr>
          <c:marker>
            <c:symbol val="none"/>
          </c:marker>
          <c:cat>
            <c:numRef>
              <c:f>'RT y EBITDA 14 y 20'!$A$3:$A$18</c:f>
              <c:numCache>
                <c:formatCode>General</c:formatCode>
                <c:ptCount val="16"/>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numCache>
            </c:numRef>
          </c:cat>
          <c:val>
            <c:numRef>
              <c:f>'RT y EBITDA 14 y 20'!$N$3:$N$18</c:f>
              <c:numCache>
                <c:formatCode>#,##0</c:formatCode>
                <c:ptCount val="16"/>
                <c:pt idx="0">
                  <c:v>29277</c:v>
                </c:pt>
                <c:pt idx="1">
                  <c:v>30510</c:v>
                </c:pt>
                <c:pt idx="2">
                  <c:v>32389</c:v>
                </c:pt>
                <c:pt idx="3">
                  <c:v>34905</c:v>
                </c:pt>
                <c:pt idx="4">
                  <c:v>37238</c:v>
                </c:pt>
                <c:pt idx="5">
                  <c:v>39343</c:v>
                </c:pt>
                <c:pt idx="6">
                  <c:v>43352</c:v>
                </c:pt>
                <c:pt idx="7">
                  <c:v>26495.729170000006</c:v>
                </c:pt>
                <c:pt idx="8">
                  <c:v>30896.798729999995</c:v>
                </c:pt>
                <c:pt idx="9">
                  <c:v>33550.631070000003</c:v>
                </c:pt>
                <c:pt idx="10">
                  <c:v>35803.637759999998</c:v>
                </c:pt>
                <c:pt idx="11">
                  <c:v>37829.972000000002</c:v>
                </c:pt>
                <c:pt idx="12">
                  <c:v>40020.60067</c:v>
                </c:pt>
                <c:pt idx="13">
                  <c:v>42301.636859999999</c:v>
                </c:pt>
                <c:pt idx="14">
                  <c:v>44708.243060000001</c:v>
                </c:pt>
                <c:pt idx="15">
                  <c:v>47212.698240000005</c:v>
                </c:pt>
              </c:numCache>
            </c:numRef>
          </c:val>
          <c:smooth val="0"/>
          <c:extLst xmlns:c16r2="http://schemas.microsoft.com/office/drawing/2015/06/chart">
            <c:ext xmlns:c16="http://schemas.microsoft.com/office/drawing/2014/chart" uri="{C3380CC4-5D6E-409C-BE32-E72D297353CC}">
              <c16:uniqueId val="{00000002-BEA1-4FC1-8F5F-89A703714FE0}"/>
            </c:ext>
          </c:extLst>
        </c:ser>
        <c:dLbls>
          <c:showLegendKey val="0"/>
          <c:showVal val="0"/>
          <c:showCatName val="0"/>
          <c:showSerName val="0"/>
          <c:showPercent val="0"/>
          <c:showBubbleSize val="0"/>
        </c:dLbls>
        <c:marker val="1"/>
        <c:smooth val="0"/>
        <c:axId val="48458752"/>
        <c:axId val="48460544"/>
      </c:lineChart>
      <c:catAx>
        <c:axId val="4845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8460544"/>
        <c:crosses val="autoZero"/>
        <c:auto val="1"/>
        <c:lblAlgn val="ctr"/>
        <c:lblOffset val="100"/>
        <c:noMultiLvlLbl val="0"/>
      </c:catAx>
      <c:valAx>
        <c:axId val="48460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8458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089FD-DE77-43A4-9FCA-27C8B1BA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7327</Words>
  <Characters>39072</Characters>
  <Application>Microsoft Office Word</Application>
  <DocSecurity>4</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46307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D426745</dc:creator>
  <cp:lastModifiedBy>Aranaz, Carlota</cp:lastModifiedBy>
  <cp:revision>2</cp:revision>
  <cp:lastPrinted>2021-06-18T05:58:00Z</cp:lastPrinted>
  <dcterms:created xsi:type="dcterms:W3CDTF">2021-06-21T10:29:00Z</dcterms:created>
  <dcterms:modified xsi:type="dcterms:W3CDTF">2021-06-21T10:29:00Z</dcterms:modified>
</cp:coreProperties>
</file>