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Congreso de los Diputados a que, en el seno de la Comisión Constitucional, convoque de manera urgente la Subcomisión para la reforma de la Ley Orgánica 5/1985, de 19 de junio, del Régimen Electoral General, con el fin de abordar los cambios legislativos pertinentes para solucionar la problemática suscitada en torno a las agrupaciones de electores y los partidos locales,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14 de septiembre, el Congreso de los Diputados rechazó la toma en consideración de la Proposición de Ley sobre modificación parcial de la Ley Orgánica de Régimen Electoral General y de la Ley Orgánica de Financiación de Partidos Políticos, aprobada en el Parlamento de Navarra y remitida a la Cámara Baja. </w:t>
      </w:r>
    </w:p>
    <w:p>
      <w:pPr>
        <w:pStyle w:val="0"/>
        <w:suppressAutoHyphens w:val="false"/>
        <w:rPr>
          <w:rStyle w:val="1"/>
        </w:rPr>
      </w:pPr>
      <w:r>
        <w:rPr>
          <w:rStyle w:val="1"/>
        </w:rPr>
        <w:t xml:space="preserve">Dicha propuesta de modificación parcial busca el impulso de la participación ciudadana en los asuntos públicos de nuestros municipios atendiendo a dos objetivos claros: </w:t>
      </w:r>
    </w:p>
    <w:p>
      <w:pPr>
        <w:pStyle w:val="0"/>
        <w:suppressAutoHyphens w:val="false"/>
        <w:rPr>
          <w:rStyle w:val="1"/>
        </w:rPr>
      </w:pPr>
      <w:r>
        <w:rPr>
          <w:rStyle w:val="1"/>
        </w:rPr>
        <w:t xml:space="preserve">Por un lado, la iniciativa persigue que en los procesos electorales municipales el límite de gasto se ajuste a las necesidades reales. En este sentido, cabe recordar que la Ley Orgánica de Régimen Electoral General fija un límite de gasto de campaña para las agrupaciones electorales y los pequeños partidos que concurren en un único municipio de 0,11 céntimos de euros por habitante, sin tener opción a contar con el complemento provincial del que disponen los partidos mayoritarios. </w:t>
      </w:r>
    </w:p>
    <w:p>
      <w:pPr>
        <w:pStyle w:val="0"/>
        <w:suppressAutoHyphens w:val="false"/>
        <w:rPr>
          <w:rStyle w:val="1"/>
        </w:rPr>
      </w:pPr>
      <w:r>
        <w:rPr>
          <w:rStyle w:val="1"/>
        </w:rPr>
        <w:t xml:space="preserve">El segundo de los objetivos busca la eliminación de la sanción mínima de 50.000 euros en los casos en los que el gasto electoral se sobrepase en más de un 10% del máximo establecido, algo que se incluyó en la última modificación de la Ley Orgánica de Financiación de Partidos Políticos. </w:t>
      </w:r>
    </w:p>
    <w:p>
      <w:pPr>
        <w:pStyle w:val="0"/>
        <w:suppressAutoHyphens w:val="false"/>
        <w:rPr>
          <w:rStyle w:val="1"/>
        </w:rPr>
      </w:pPr>
      <w:r>
        <w:rPr>
          <w:rStyle w:val="1"/>
        </w:rPr>
        <w:t xml:space="preserve">Del mismo modo, la iniciativa rechazada por el Congreso de los Diputados proponía que estas medidas tengan efectos retroactivos y sean de aplicación a las formaciones que concurrieron a las elecciones municipales de 2015 y 2019. </w:t>
      </w:r>
    </w:p>
    <w:p>
      <w:pPr>
        <w:pStyle w:val="0"/>
        <w:suppressAutoHyphens w:val="false"/>
        <w:rPr>
          <w:rStyle w:val="1"/>
        </w:rPr>
      </w:pPr>
      <w:r>
        <w:rPr>
          <w:rStyle w:val="1"/>
        </w:rPr>
        <w:t xml:space="preserve">El rechazo de esta propuesta aboca a un buen número de agrupaciones y pequeños partidos a una situación ciertamente preocupante, ya que no solo siguen en pie los expedientes sancionadores de 2015 sino que podrían iniciarse los de 2019. </w:t>
      </w:r>
    </w:p>
    <w:p>
      <w:pPr>
        <w:pStyle w:val="0"/>
        <w:suppressAutoHyphens w:val="false"/>
        <w:rPr>
          <w:rStyle w:val="1"/>
        </w:rPr>
      </w:pPr>
      <w:r>
        <w:rPr>
          <w:rStyle w:val="1"/>
        </w:rPr>
        <w:t xml:space="preserve">Uno de los argumentos que durante el debate de la toma en consideración de esta iniciativa se esgrimieron para rechazarla fue el hecho de que el pasado mes de abril el Pleno del Congreso de los Diputados aprobó la creación de una subcomisión para abordar las cuestiones referidas a la reforma del régimen electoral. </w:t>
      </w:r>
    </w:p>
    <w:p>
      <w:pPr>
        <w:pStyle w:val="0"/>
        <w:suppressAutoHyphens w:val="false"/>
        <w:rPr>
          <w:rStyle w:val="1"/>
        </w:rPr>
      </w:pPr>
      <w:r>
        <w:rPr>
          <w:rStyle w:val="1"/>
        </w:rPr>
        <w:t xml:space="preserve">En este sentido, resulta fundamental seguir insistiendo en la resolución de este problema y devolver el pleno derecho a la participación democrática de los vecinos y vecinas de muchos municipios. Por todo ello, se propone la siguiente propuesta de resolución: </w:t>
      </w:r>
    </w:p>
    <w:p>
      <w:pPr>
        <w:pStyle w:val="0"/>
        <w:suppressAutoHyphens w:val="false"/>
        <w:rPr>
          <w:rStyle w:val="1"/>
        </w:rPr>
      </w:pPr>
      <w:r>
        <w:rPr>
          <w:rStyle w:val="1"/>
        </w:rPr>
        <w:t xml:space="preserve">El Parlamento de Navarra insta al Congreso de los Diputados a que, en el seno de la Comisión Constitucional, convoque de manera urgente la Subcomisión para la reforma de la ley Orgánica 5/1985, de 19 de junio, del Régimen Electoral General, con el fin de abordar los cambios legislativos pertinentes para solucionar la problemática suscitada en torno a las agrupaciones de electores y los partidos locales. </w:t>
      </w:r>
    </w:p>
    <w:p>
      <w:pPr>
        <w:pStyle w:val="0"/>
        <w:suppressAutoHyphens w:val="false"/>
        <w:rPr>
          <w:rStyle w:val="1"/>
        </w:rPr>
      </w:pPr>
      <w:r>
        <w:rPr>
          <w:rStyle w:val="1"/>
        </w:rPr>
        <w:t xml:space="preserve">Pamplona-lruña a 16 de septiembre de 2021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