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27 de septiembre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ejercicio de la iniciativa legislativa que le reconoce el artículo 19.1.b) de la Ley Orgánica de Reintegración y Amejoramiento del Régimen Foral de Navarra, el G.P. Mixto-Izquierda-Ezkerra ha presentado la proposición de Ley Foral de modificación de la Ley Foral 17/2012, de 19 de octubre, de modificación de la Ley Foral 11/1998, de 3 de julio, que regula la financiación pública de los centros de iniciativa social que imparten las enseñanzas de bachillerato, ciclos formativos de grado medio y programas de garantía social, solicitando su tramitación en lectura única (10-21/PRO-00014).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su virtud, de conformidad con lo dispuesto en los artículos 148 y 158 del Reglamento de la Cámara, de acuerdo con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Ordenar la publicación de la proposición de Ley Foral de modificación de la Ley Foral 17/2012, de 19 de octubre, de modificación de la Ley Foral 11/1998, de 3 de julio, que regula la financiación pública de los centros de iniciativa social que imparten las enseñanzas de bachillerato, ciclos formativos de grado medio y programas de garantía social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Remitir la referida proposición de ley foral al Gobierno de Navarra a los efectos previstos en el artículo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Tramitar la referida proposición de ley foral por el procedimiento de lectura única.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4.º </w:t>
      </w:r>
      <w:r>
        <w:rPr>
          <w:rStyle w:val="1"/>
        </w:rPr>
        <w:t xml:space="preserve">Disponer la apertura del plazo de enmiendas hasta las 12:00 horas del día anterior a la sesión plenaria en la que haya de debatirse, que deberán presentarse ante la Mesa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27 de septiembre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Proposición de Ley Foral de </w:t>
        <w:br w:type="textWrapping"/>
        <w:t xml:space="preserve">modificación de la Ley Foral 17 /2012, de 19 de octubre, de modificación de la Ley Foral 11/1998, de 3 de julio, que regula la financiación pública de los centros de iniciativa social que imparten las enseñanzas de </w:t>
        <w:br w:type="textWrapping"/>
        <w:t xml:space="preserve">bachillerato, ciclos formativos de grado medio y programas de </w:t>
        <w:br w:type="textWrapping"/>
        <w:t xml:space="preserve">garantía social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artículo 1, en su apartado a bis), de la Ley Orgánica 3/2020, de 29 de diciembre, por la que se modifica la Ley Orgánica 2/2006, de 3 de mayo, de Educación, dice lo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«a bis) La calidad de la educación para todo el alumnado, sin que exista discriminación alguna por razón de nacimiento, sexo, origen racial, étnico o geográfico, discapacidad, edad, enfermedad, religión o creencias, orientación sexual o identidad sexual o cualquier otra condición o circunstancia personal o social».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artículo 84, relativo a la escolarización en centros públicos y privados concertados, dice lo siguiente en sus apartados 1 y 3: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«1. Las Administraciones educativas regularán la admisión de alumnos y alumnas en centros públicos y privados concertados de tal forma que garantice el derecho a la educación, el acceso en condiciones de igualdad y la libertad de elección de centro por padres, madres o tutores legales. En dicha regulación se dispondrán las medidas necesarias para evitar la segregación del alumnado por motivos socioeconómicos o de otra naturaleza. En todo caso, se atenderá a una adecuada y equilibrada distribución entre los centros escolares del alumnado con necesidad específica de apoyo educativo».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«3. En ningún caso habrá discriminación por razón de nacimiento, origen racial o étnico, sexo, religión, opinión, discapacidad, edad, enfermedad, orientación sexual o identidad de género o cualquier otra condición o circunstancia personal o social».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Contraviniendo la norma y el compromiso adquirido con el Departamento de Educación, determinados centros mantienen al alumnado y al profesorado segregado por razón de sexo en sus aulas tanto en la enseñanza Primaria, Secundaria y Bachillerato.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único. </w:t>
      </w:r>
      <w:r>
        <w:rPr>
          <w:rStyle w:val="1"/>
        </w:rPr>
        <w:t xml:space="preserve">Supresión del punto 3 de la disposición adicional: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«3. No obstante lo anterior, los conciertos a los que se refieren los apartados precedentes podrán ser prorrogados por acuerdo motivado del Gobierno de Navarra, a los solos efectos de garantizar la continuidad del alumnado actualmente matriculado en estos centros hasta la finalización de las etapas educativas obligatorias que estén cursando».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Disposición final. </w:t>
      </w:r>
      <w:r>
        <w:rPr>
          <w:rStyle w:val="1"/>
        </w:rPr>
        <w:t xml:space="preserve">Entrada en vigor.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presente ley foral entrará en vigor al día siguiente de su publicación en el Boletín Oficial del Navarra.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  <w:contextualSpacing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