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7 de octubre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construir un espacio de consenso en torno a los proyectos estratégicos prioritarios para el desarrollo social y económico de Navarra, presentada por el Ilmo. Sr. D. Adolfo Araiz Flamarique.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7 de octubre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Adolfo Araiz Flamarique, parlamentario adscrito al G.P. EH Bildu Nafarroa, al amparo de lo establecido en el Reglamento de la Cámara, presenta la siguiente moción para su debate y votación en el Pleno del próximo 14 de octubre de 2021.</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Hace unos días un medio de comunicación se refería a una carta que habría enviado la Ministra Calviño a todas las presidencias autonómicas. En dicha carta, la ministra fijaría un plazo de quince días para presentar un máximo de tres proyectos a financiar a través de los Fondos Europeos.</w:t>
      </w:r>
    </w:p>
    <w:p>
      <w:pPr>
        <w:pStyle w:val="0"/>
        <w:suppressAutoHyphens w:val="false"/>
        <w:rPr>
          <w:rStyle w:val="1"/>
        </w:rPr>
      </w:pPr>
      <w:r>
        <w:rPr>
          <w:rStyle w:val="1"/>
        </w:rPr>
        <w:t xml:space="preserve">Desde el primer momento hemos defendido que los fondos Next Generation debían servir como palanca para una profunda transformación, para hacer frente a la transición ecológica, para poner la transición digital al servicio de los retos sociales y para desarrollar estrategias que fortalezcan la resiliencia económica y social.</w:t>
      </w:r>
    </w:p>
    <w:p>
      <w:pPr>
        <w:pStyle w:val="0"/>
        <w:suppressAutoHyphens w:val="false"/>
        <w:rPr>
          <w:rStyle w:val="1"/>
        </w:rPr>
      </w:pPr>
      <w:r>
        <w:rPr>
          <w:rStyle w:val="1"/>
        </w:rPr>
        <w:t xml:space="preserve">Estamos viviendo un momento muy especial. La crisis ecológica, la crisis demográfica y la revolución digital son algunas de las crisis que se nos vienen encima. Por otra parte, la responsabilidad del sector público no puede sustituirse otorgando un protagonismo decisivo y decisorio en el desarrollo económico a determinadas empresas multinacionales. La colaboración público-privada puede ser aceptable, pero eso no significa que las instituciones públicas financien el desarrollo de tecnologías para que, cuando sean rentables y se generen beneficios, estos se repartan entre los accionistas de esas empresas. El sector público debe jugar un papel emprendedor activo e intervenir en la economía en beneficio de la transformación social profunda que se verá como necesaria.</w:t>
      </w:r>
    </w:p>
    <w:p>
      <w:pPr>
        <w:pStyle w:val="0"/>
        <w:suppressAutoHyphens w:val="false"/>
        <w:rPr>
          <w:rStyle w:val="1"/>
        </w:rPr>
      </w:pPr>
      <w:r>
        <w:rPr>
          <w:rStyle w:val="1"/>
        </w:rPr>
        <w:t xml:space="preserve">Deberíamos abrir otro debate sobre lo que Navarra tendría que poder decidir. Si las informaciones de prensa son ciertas, se viene a incidir en la limitada capacidad de acción del Gobierno de Navarra a la hora de presentar proyectos estratégicos ni tener la capacidad de organizar una inversión pública que condicione el modelo de desarrollo de nuestro territorio, y que el futuro social y económico sea decidido por terceros.</w:t>
      </w:r>
    </w:p>
    <w:p>
      <w:pPr>
        <w:pStyle w:val="0"/>
        <w:suppressAutoHyphens w:val="false"/>
        <w:rPr>
          <w:rStyle w:val="1"/>
        </w:rPr>
      </w:pPr>
      <w:r>
        <w:rPr>
          <w:rStyle w:val="1"/>
        </w:rPr>
        <w:t xml:space="preserve">Es evidente que las inversiones derivadas de los Fondos Next Generation van a sentar las bases del modelo de desarrollo futuro. De hecho, el tiempo se agota. Asistimos a una transformación brutal a una velocidad de vértigo. Los meses de pandemia han supuesto años en cuanto a desarrollo digital. La Agencia Internacional de la Energía IEA urge a una transformación energética radical al margen de los combustibles fósiles. El sexto informe del panel internacional sobre cambio climático IPCC de la ONU viene a decir que tenemos cuatro años para reducir drásticamente las emisiones si no queremos vernos abocados a un escenario de trastorno climático fuera de control con consecuencias incalculables para el bienestar de las presentes y futuras generaciones. La confluencia de la revolución digital y la transición energética devendrán en una transformación del tejido productivo que amenaza la fortaleza de la nuestra industria. Por último, la crisis demográfica desafía todas y cada una de nuestras estructuras de bienestar tal como están concebidas. Nos enfrentamos, pues, a un escenario histórico inédito marcado por la confluencia de tres profundas transformaciones (la ecológica-energética, la digital y la demográfica).</w:t>
      </w:r>
    </w:p>
    <w:p>
      <w:pPr>
        <w:pStyle w:val="0"/>
        <w:suppressAutoHyphens w:val="false"/>
        <w:rPr>
          <w:rStyle w:val="1"/>
        </w:rPr>
      </w:pPr>
      <w:r>
        <w:rPr>
          <w:rStyle w:val="1"/>
        </w:rPr>
        <w:t xml:space="preserve">Este momento histórico exige también un gran pacto generacional. Dentro de tan solo diez años nuestra Comunidad se habrá transformado radicalmente en términos económicos, sociales, culturales y políticos; en una dirección u otra. Hacer que la dirección sea la adecuada es la responsabilidad que asumimos quienes hoy tenemos responsabilidades políticas.</w:t>
      </w:r>
    </w:p>
    <w:p>
      <w:pPr>
        <w:pStyle w:val="0"/>
        <w:suppressAutoHyphens w:val="false"/>
        <w:rPr>
          <w:rStyle w:val="1"/>
        </w:rPr>
      </w:pPr>
      <w:r>
        <w:rPr>
          <w:rStyle w:val="1"/>
        </w:rPr>
        <w:t xml:space="preserve">Por todo ello, presentamos la siguiente propuesta de resolución:</w:t>
      </w:r>
    </w:p>
    <w:p>
      <w:pPr>
        <w:pStyle w:val="0"/>
        <w:suppressAutoHyphens w:val="false"/>
        <w:rPr>
          <w:rStyle w:val="1"/>
        </w:rPr>
      </w:pPr>
      <w:r>
        <w:rPr>
          <w:rStyle w:val="1"/>
        </w:rPr>
        <w:t xml:space="preserve">1. El Parlamento de Navarra insta al Gobierno de Navarra a construir un espacio de consenso en torno a los proyectos estratégicos prioritarios para el desarrollo social y económico de Navarra. Al mismo tiempo, manifiesta su compromiso para definir conjuntamente una misión clara en cada uno de los proyectos y articular una colaboración público-privada al servicio del interés común.</w:t>
      </w:r>
    </w:p>
    <w:p>
      <w:pPr>
        <w:pStyle w:val="0"/>
        <w:suppressAutoHyphens w:val="false"/>
        <w:rPr>
          <w:rStyle w:val="1"/>
        </w:rPr>
      </w:pPr>
      <w:r>
        <w:rPr>
          <w:rStyle w:val="1"/>
        </w:rPr>
        <w:t xml:space="preserve">2. El Parlamento de Navarra considera que hay tres proyectos estratégicos que responden a los tres pilares fundamentales del programa Next Generation e insta al Gobierno de Navarra a priorizarlos ante el Gobierno del Estado:</w:t>
      </w:r>
    </w:p>
    <w:p>
      <w:pPr>
        <w:pStyle w:val="0"/>
        <w:suppressAutoHyphens w:val="false"/>
        <w:rPr>
          <w:rStyle w:val="1"/>
        </w:rPr>
      </w:pPr>
      <w:r>
        <w:rPr>
          <w:rStyle w:val="1"/>
        </w:rPr>
        <w:t xml:space="preserve">2.1. Innovación en los cuidados de larga duración, que se debe concretar, tal como recoge la propuesta realizada por el propio Gobierno, en una triple intervención:</w:t>
      </w:r>
    </w:p>
    <w:p>
      <w:pPr>
        <w:pStyle w:val="0"/>
        <w:suppressAutoHyphens w:val="false"/>
        <w:rPr>
          <w:rStyle w:val="1"/>
        </w:rPr>
      </w:pPr>
      <w:r>
        <w:rPr>
          <w:rStyle w:val="1"/>
        </w:rPr>
        <w:t xml:space="preserve">a) Inversión en centros residenciales, centros de día y viviendas eficientes desde el punto de vista energético, accesibles y bajo un diseño arquitectónico que permita a las personas convivir con un número reducido de personas, manteniendo su identidad y permitiendo continuar en la construcción de su proyecto vital.</w:t>
      </w:r>
    </w:p>
    <w:p>
      <w:pPr>
        <w:pStyle w:val="0"/>
        <w:suppressAutoHyphens w:val="false"/>
        <w:rPr>
          <w:rStyle w:val="1"/>
        </w:rPr>
      </w:pPr>
      <w:r>
        <w:rPr>
          <w:rStyle w:val="1"/>
        </w:rPr>
        <w:t xml:space="preserve">b) Inversión en formación de nuevos profesionales, en el incremento de las competencias de los profesionales y en la formación de los equipos directivos.</w:t>
      </w:r>
    </w:p>
    <w:p>
      <w:pPr>
        <w:pStyle w:val="0"/>
        <w:suppressAutoHyphens w:val="false"/>
        <w:rPr>
          <w:rStyle w:val="1"/>
        </w:rPr>
      </w:pPr>
      <w:r>
        <w:rPr>
          <w:rStyle w:val="1"/>
        </w:rPr>
        <w:t xml:space="preserve">c) Inversión en nuevas tecnologías aplicadas a los cuidados de larga duración. Desarrollo de un sistema de teleasistencia avanzada. Dotar a los centros residenciales también de la conectividad y digitalización necesaria.</w:t>
      </w:r>
    </w:p>
    <w:p>
      <w:pPr>
        <w:pStyle w:val="0"/>
        <w:suppressAutoHyphens w:val="false"/>
        <w:rPr>
          <w:rStyle w:val="1"/>
        </w:rPr>
      </w:pPr>
      <w:r>
        <w:rPr>
          <w:rStyle w:val="1"/>
        </w:rPr>
        <w:t xml:space="preserve">2.2. Ampliación de servicios de asistencia sanitaria hospitalaria, Salud Mental, Salud Pública y servicios globales, que se debe concretar, tal como recoge la propuesta realizada por el propio Gobierno, en acciones dirigidas a “la modernización de las infraestructuras, la mejora de equipamientos y la modernización de los servicios a fin de optimizar la prestación de servicios y la accesibilidad desde todas las zonas básicas de salud de la Comunidad Foral de Navarra, incorporando criterios de eficiencia. Se desarrollará en los tres hospitales de la red (Complejo Hospitalario de Navarra, Hospital García Orcoyen y Hospital Reina Sofía, de Tudela), así como en la red de Salud Mental, en Salud Pública y en otros servicios de referencia del sistema como es el Laboratorio Unificado de Navarra.</w:t>
      </w:r>
    </w:p>
    <w:p>
      <w:pPr>
        <w:pStyle w:val="0"/>
        <w:suppressAutoHyphens w:val="false"/>
        <w:rPr>
          <w:rStyle w:val="1"/>
        </w:rPr>
      </w:pPr>
      <w:r>
        <w:rPr>
          <w:rStyle w:val="1"/>
        </w:rPr>
        <w:t xml:space="preserve">2.3. Navanza - Plan de reactivación para construir pueblos y ciudades resilientes y sostenibles, que, tal como recoge la propuesta del Gobierno, tiene como misión la cooperación entre la Administración foral y las distintas Administraciones locales para optimizar la implementación de inversiones y reformas en áreas que son competencia de las Entidades Locales. El plan proyecta intervenciones en cuatro áreas: transición ecológica, transformación digital, igualdad de género y cohesión social y territorial.</w:t>
      </w:r>
    </w:p>
    <w:p>
      <w:pPr>
        <w:pStyle w:val="0"/>
        <w:suppressAutoHyphens w:val="false"/>
        <w:rPr>
          <w:rStyle w:val="1"/>
        </w:rPr>
      </w:pPr>
      <w:r>
        <w:rPr>
          <w:rStyle w:val="1"/>
        </w:rPr>
        <w:t xml:space="preserve">Iruñea/Pamplona a 6 de octubre de 2021</w:t>
      </w:r>
    </w:p>
    <w:p>
      <w:pPr>
        <w:pStyle w:val="0"/>
        <w:suppressAutoHyphens w:val="false"/>
        <w:rPr>
          <w:rStyle w:val="1"/>
          <w:spacing w:val="-0.961"/>
        </w:rPr>
      </w:pPr>
      <w:r>
        <w:rPr>
          <w:rStyle w:val="1"/>
          <w:spacing w:val="-0.961"/>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