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octubre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b w:val="true"/>
          <w:spacing w:val="-0.961"/>
        </w:rPr>
        <w:t xml:space="preserve">1.º</w:t>
      </w:r>
      <w:r>
        <w:rPr>
          <w:rStyle w:val="1"/>
          <w:spacing w:val="-0.961"/>
        </w:rPr>
        <w:t xml:space="preserve"> Admitir a trámite la pregunta sobre la normativa para la gestión y seguimiento de los proyectos financiados con los fondos provenientes del Mecanismo de Recuperación y Resiliencia, formulada por la Ilma. Sra. D.ª Ainhoa Unzu Garate.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octubre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Unzu Garate, adscrita al Grupo Parlamentario Partido Socialista de Navarra, al amparo de lo establecido en el Reglamento de la Cámara, formula a la Consejera de Economía y Hacienda, para su contestación en el Pleno la siguiente pregunta 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13 de octubre de 2021, el Gobierno de Navarra aprobó en sesión de gobierno la primera normativa para la gestión y seguimiento de los proyectos financiados con los fondos provenientes del Mecanismo de Recuperación y Resiliencia.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¿En qué consiste y qué objetivos tiene la recién aprobada normativa para la gestión y seguimiento de los proyectos financiados con los fondos provenientes del Mecanismo de Recuperación y Resiliencia?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octubre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Unzu Garate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