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 Plan Estratégico de Convivencia de Navarra,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21 de octubre de 2021, la siguiente pregunta de máxima actualidad </w:t>
      </w:r>
    </w:p>
    <w:p>
      <w:pPr>
        <w:pStyle w:val="0"/>
        <w:suppressAutoHyphens w:val="false"/>
        <w:rPr>
          <w:rStyle w:val="1"/>
        </w:rPr>
      </w:pPr>
      <w:r>
        <w:rPr>
          <w:rStyle w:val="1"/>
        </w:rPr>
        <w:t xml:space="preserve">Una vez aprobado el I Plan Estratégico de Convivencia de Navarra, ¿cómo puede este favorecer las necesidades de convivencia que nos demanda y necesita la ciudadanía de nuestra comunidad? </w:t>
      </w:r>
    </w:p>
    <w:p>
      <w:pPr>
        <w:pStyle w:val="0"/>
        <w:suppressAutoHyphens w:val="false"/>
        <w:rPr>
          <w:rStyle w:val="1"/>
        </w:rPr>
      </w:pPr>
      <w:r>
        <w:rPr>
          <w:rStyle w:val="1"/>
        </w:rPr>
        <w:t xml:space="preserve">Pamplona, 17 de octubre de 2021 </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