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colisiones competenciales en relación con la nueva ley de vivienda estatal,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Cámara, presenta la siguiente pregunta de máxima actualidad, a fin de que sea respondida en el próximo Pleno de la Cámara, del 11 de noviembre, por parte del Consejero de Ordenación del Territorio, Vivienda, Paisaje y Proyectos Estratégicos.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las colisiones competenciales a las que hace referencia el consejero de vivienda en relación con la nueva ley de vivienda estatal?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8 de noviembre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