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etxebizitza-eraikinetako irisgarritasunerako Europatik jasotako funtsei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bigarren lehendakariorde eta Lurralde Antolamenduko, etxebizitzako, Paisaiako eta Proiektu Estrategikoetako kontseilariari, Osoko Bilkuran ahoz erantzun dezan:</w:t>
      </w:r>
    </w:p>
    <w:p>
      <w:pPr>
        <w:pStyle w:val="0"/>
        <w:suppressAutoHyphens w:val="false"/>
        <w:rPr>
          <w:rStyle w:val="1"/>
        </w:rPr>
      </w:pPr>
      <w:r>
        <w:rPr>
          <w:rStyle w:val="1"/>
        </w:rPr>
        <w:t xml:space="preserve">“Espainia, herri irisgarria” planari jarraikiz, Espainiako Gobernuak 637.548 euro eman dizkio Nafarroako Foru Komunitateari Suspertze, Eraldatze eta Erresilientzia Planaren baitan, inguruneak eraldatzeko oinarriak ezartzeko xedez, halako moduan non pertsona guztiak, salbuespenik gabe, ibili ahal izanen baitira horietan barrena.</w:t>
      </w:r>
    </w:p>
    <w:p>
      <w:pPr>
        <w:pStyle w:val="0"/>
        <w:suppressAutoHyphens w:val="false"/>
        <w:rPr>
          <w:rStyle w:val="1"/>
        </w:rPr>
      </w:pPr>
      <w:r>
        <w:rPr>
          <w:rStyle w:val="1"/>
        </w:rPr>
        <w:t xml:space="preserve">Zure departamentuak nola antolatuko ditu etxebizitzetako irisgarritasun-obretarako Estatuak emandako funtsak?</w:t>
      </w:r>
    </w:p>
    <w:p>
      <w:pPr>
        <w:pStyle w:val="0"/>
        <w:suppressAutoHyphens w:val="false"/>
        <w:rPr>
          <w:rStyle w:val="1"/>
        </w:rPr>
      </w:pPr>
      <w:r>
        <w:rPr>
          <w:rStyle w:val="1"/>
        </w:rPr>
        <w:t xml:space="preserve">Iruñean, 2021eko azaroaren 2an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