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24 de noviembre de 2021, ha remitido al Parlamento de Navarra el proyecto de Ley Foral por la que se modifica la Ley Foral 2/1995, de 10 de marzo, de Haciendas Locales de Navarra.</w:t>
      </w:r>
    </w:p>
    <w:p>
      <w:pPr>
        <w:pStyle w:val="0"/>
        <w:suppressAutoHyphens w:val="false"/>
        <w:rPr>
          <w:rStyle w:val="1"/>
        </w:rPr>
      </w:pPr>
      <w:r>
        <w:rPr>
          <w:rStyle w:val="1"/>
        </w:rPr>
        <w:t xml:space="preserve">En su virtud, de conformidad con lo dispuesto en los artículos 152, 153 y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con las especialidades establecidas en los artículos 152 y 153 del Reglamento, del proyecto de Ley Foral por la que se modifica la Ley Foral 2/1995, de 10 de marzo, de Haciendas Locales de Navarra (10-21/LEY-00011).</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30 de noviembre de 2021</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por la que </w:t>
        <w:br w:type="textWrapping"/>
        <w:t xml:space="preserve">se modifica la Ley Foral 2/1995, </w:t>
        <w:br w:type="textWrapping"/>
        <w:t xml:space="preserve">de 10 de marzo, de Haciendas Locales de Navarra</w:t>
      </w:r>
    </w:p>
    <w:p>
      <w:pPr>
        <w:pStyle w:val="0"/>
        <w:jc w:val="center"/>
        <w:ind w:firstLine="12"/>
        <w:suppressAutoHyphens w:val="false"/>
        <w:rPr>
          <w:rStyle w:val="1"/>
        </w:rPr>
      </w:pPr>
      <w:r>
        <w:rPr>
          <w:rStyle w:val="1"/>
        </w:rPr>
        <w:t xml:space="preserve">EXPOSICIÓN DE MOTIVOS</w:t>
      </w:r>
    </w:p>
    <w:p>
      <w:pPr>
        <w:pStyle w:val="0"/>
        <w:suppressAutoHyphens w:val="false"/>
        <w:rPr>
          <w:rStyle w:val="1"/>
        </w:rPr>
      </w:pPr>
      <w:r>
        <w:rPr>
          <w:rStyle w:val="1"/>
        </w:rPr>
        <w:t xml:space="preserve">La Ley Foral 2/1995, de 10 de marzo, de Haciendas Locales de Navarra fue modificada por la Ley Foral 19/2017, para dar cumplimiento a la Sentencia del Tribunal Constitucional 72/2017, de 5 de junio de 2017, publicada en el B.O.E. el 15 de julio del mismo año. </w:t>
      </w:r>
    </w:p>
    <w:p>
      <w:pPr>
        <w:pStyle w:val="0"/>
        <w:suppressAutoHyphens w:val="false"/>
        <w:rPr>
          <w:rStyle w:val="1"/>
        </w:rPr>
      </w:pPr>
      <w:r>
        <w:rPr>
          <w:rStyle w:val="1"/>
        </w:rPr>
        <w:t xml:space="preserve">La citada sentencia estimó la cuestión de inconstitucionalidad número 686-2017 y, en consecuencia, declaró que los artículos 175.2, 175.3 y 178.4 de la Ley Foral 2/1995, de 10 de marzo, de Haciendas Locales de Navarra, relativos al Impuesto sobre el Incremento del Valor de los Terrenos de Naturaleza Urbana, “son inconstitucionales y nulos, pero únicamente en la medida que someten a tributación situaciones inexpresivas de capacidad económica.”</w:t>
      </w:r>
    </w:p>
    <w:p>
      <w:pPr>
        <w:pStyle w:val="0"/>
        <w:suppressAutoHyphens w:val="false"/>
        <w:rPr>
          <w:rStyle w:val="1"/>
        </w:rPr>
      </w:pPr>
      <w:r>
        <w:rPr>
          <w:rStyle w:val="1"/>
        </w:rPr>
        <w:t xml:space="preserve">En función de ello, se modificó la mencionada Ley Foral 2/1995 al objeto de no someter a tributación aquellos supuestos en los que no existía un incremento de valor de los terrenos de naturaleza urbana. La modificación aplicó los criterios del Tribunal Constitucional consistentes, por una parte,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y, por otra, en que consideraba conforme a la Constitución el mencionado Impuesto sobre el incremento del Valor de los Terrenos de Naturaleza Urbana, tal y como estaba configurado legalmente en ese momento, en los supuestos de existencia de incremento de valor de los terrenos.</w:t>
      </w:r>
    </w:p>
    <w:p>
      <w:pPr>
        <w:pStyle w:val="0"/>
        <w:suppressAutoHyphens w:val="false"/>
        <w:rPr>
          <w:rStyle w:val="1"/>
        </w:rPr>
      </w:pPr>
      <w:r>
        <w:rPr>
          <w:rStyle w:val="1"/>
        </w:rPr>
        <w:t xml:space="preserve">No obstante, la Sentencia del Tribunal Constitucional de 26 de octubre de 2021, que resuelve la cuestión de inconstitucionalidad 4433-2020, ha venido a declarar la inconstitucionalidad y nulidad de los artículos 107.1, segundo párrafo, 107.2 a) y 107.4 del texto refundido de la Ley Reguladora de las Haciendas Locales, aprobado por el Real Decreto Legislativo 2/2004, de 5 de marzo, señalando en su fundamento jurídico 5 que “el mantenimiento del actual sistema objetivo y obligatorio de determinación de la base imponible, por ser ajeno a la realidad del mercado inmobiliario y de la crisis económica, y, por tanto, al margen de la capacidad económica gravada por el impuesto y demostrada por el contribuyente, vulnera el principio de capacidad económica como criterio de imposición (art. 31.1 CE)”.</w:t>
      </w:r>
    </w:p>
    <w:p>
      <w:pPr>
        <w:pStyle w:val="0"/>
        <w:suppressAutoHyphens w:val="false"/>
        <w:rPr>
          <w:rStyle w:val="1"/>
        </w:rPr>
      </w:pPr>
      <w:r>
        <w:rPr>
          <w:rStyle w:val="1"/>
        </w:rPr>
        <w:t xml:space="preserve">Añade también que “para que este método estimativo de la base imponible sea constitucionalmente legítimo por razones de simplificación en la aplicación del impuesto o de practicabilidad administrativa, debe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3712017, FJ 3; 59/2017, FJ 3; 72/2017, FJ 3 y 1 26/2019, FJ 3).”</w:t>
      </w:r>
    </w:p>
    <w:p>
      <w:pPr>
        <w:pStyle w:val="0"/>
        <w:suppressAutoHyphens w:val="false"/>
        <w:rPr>
          <w:rStyle w:val="1"/>
        </w:rPr>
      </w:pPr>
      <w:r>
        <w:rPr>
          <w:rStyle w:val="1"/>
        </w:rPr>
        <w:t xml:space="preserve">De acuerdo con lo anterior y a pesar de que la sentencia no se refiere a la Ley Foral de Haciendas Locales de Navarra, se considera conveniente introducir una regla de salvaguarda con la finalidad de evitar que la tributación por el impuesto sobre el incremento del valor de los terrenos de naturaleza urbana pudiera en algún caso resultar contraria al principio de capacidad económica, permitiendo, a instancia del sujeto pasivo, acomodar la carga tributaria al incremento de valor efectivamente obtenido. </w:t>
      </w:r>
    </w:p>
    <w:p>
      <w:pPr>
        <w:pStyle w:val="0"/>
        <w:suppressAutoHyphens w:val="false"/>
        <w:rPr>
          <w:rStyle w:val="1"/>
        </w:rPr>
      </w:pPr>
      <w:r>
        <w:rPr>
          <w:rStyle w:val="1"/>
        </w:rPr>
        <w:t xml:space="preserve">Así, el sistema objetivo de determinación de la base imponible del impuesto se convierte en un sistema optativo, que solo resultará de aplicación en aquellos casos en los que el sujeto pasivo no haga uso del derecho expuesto anteriormente. </w:t>
      </w:r>
    </w:p>
    <w:p>
      <w:pPr>
        <w:pStyle w:val="0"/>
        <w:suppressAutoHyphens w:val="false"/>
        <w:rPr>
          <w:rStyle w:val="1"/>
        </w:rPr>
      </w:pPr>
      <w:r>
        <w:rPr>
          <w:rStyle w:val="1"/>
        </w:rPr>
        <w:t xml:space="preserve">La norma legal se estructura en un artículo único y una disposición final.</w:t>
      </w:r>
    </w:p>
    <w:p>
      <w:pPr>
        <w:pStyle w:val="0"/>
        <w:suppressAutoHyphens w:val="false"/>
        <w:rPr>
          <w:rStyle w:val="1"/>
          <w:spacing w:val="-1.919"/>
        </w:rPr>
      </w:pPr>
      <w:r>
        <w:rPr>
          <w:rStyle w:val="1"/>
          <w:spacing w:val="-1.919"/>
        </w:rPr>
        <w:t xml:space="preserve">En la elaboración del proyecto se han seguido los principios de buena regulación establecidos en el artículo 129 de la Ley Foral 11/2019, de 11 de marzo, de la Administración de la Comunidad Foral de Navarra y del Sector Público Institucional Foral. </w:t>
      </w:r>
    </w:p>
    <w:p>
      <w:pPr>
        <w:pStyle w:val="0"/>
        <w:suppressAutoHyphens w:val="false"/>
        <w:rPr>
          <w:rStyle w:val="1"/>
        </w:rPr>
      </w:pPr>
      <w:r>
        <w:rPr>
          <w:rStyle w:val="1"/>
        </w:rPr>
        <w:t xml:space="preserve">Las publicaciones en el Boletín del Parlamento de Navarra, en el Boletín Oficial de Navarra y en la página web de navarra.es, tanto de la propia ley foral como del procedimiento de su elaboración y de sus efectos en el resto de normas, velan por el respeto a los principios de transparencia y de accesibilidad.</w:t>
      </w:r>
    </w:p>
    <w:p>
      <w:pPr>
        <w:pStyle w:val="0"/>
        <w:suppressAutoHyphens w:val="false"/>
        <w:rPr>
          <w:rStyle w:val="1"/>
        </w:rPr>
      </w:pPr>
      <w:r>
        <w:rPr>
          <w:rStyle w:val="1"/>
        </w:rPr>
        <w:t xml:space="preserve">De conformidad con lo establecido en el artículo 20.2 de la Ley Orgánica 13/1982, de 10 de agosto, de Reintegración y Amejoramiento del Régimen Foral, y en los artículos 152 y 153 del Texto Refundido del Reglamento del Parlamento de Navarra, este proyecto de ley foral requiere mayoría absoluta para su aprobación.</w:t>
      </w:r>
    </w:p>
    <w:p>
      <w:pPr>
        <w:pStyle w:val="0"/>
        <w:suppressAutoHyphens w:val="false"/>
        <w:rPr>
          <w:rStyle w:val="1"/>
        </w:rPr>
      </w:pPr>
      <w:r>
        <w:rPr>
          <w:rStyle w:val="1"/>
        </w:rPr>
        <w:t xml:space="preserve">Dado que, en aras de la seguridad jurídica, se considera necesario introducir esta modificación legislativa de manera inmediata, se pretende que el proyecto de ley foral se tramite por el procedimiento de urgencia y en lectura única de conformidad con lo dispuesto, respectivamente, en los artículos 110 y 158.1 del Reglamento del Parlamento de Navarra.</w:t>
      </w:r>
    </w:p>
    <w:p>
      <w:pPr>
        <w:pStyle w:val="0"/>
        <w:suppressAutoHyphens w:val="false"/>
        <w:rPr>
          <w:rStyle w:val="1"/>
        </w:rPr>
      </w:pPr>
      <w:r>
        <w:rPr>
          <w:rStyle w:val="1"/>
          <w:b w:val="true"/>
        </w:rPr>
        <w:t xml:space="preserve">Artículo único.</w:t>
      </w:r>
      <w:r>
        <w:rPr>
          <w:rStyle w:val="1"/>
        </w:rPr>
        <w:t xml:space="preserve"> Con efectos para los hechos imponibles que se produzcan a partir del día 26 de octubre de 2021, los preceptos de la Ley Foral 2/1995, de 10 de marzo, de Haciendas Locales de Navarra,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172.4, tercer párrafo.</w:t>
      </w:r>
    </w:p>
    <w:p>
      <w:pPr>
        <w:pStyle w:val="0"/>
        <w:suppressAutoHyphens w:val="false"/>
        <w:rPr>
          <w:rStyle w:val="1"/>
        </w:rPr>
      </w:pPr>
      <w:r>
        <w:rPr>
          <w:rStyle w:val="1"/>
        </w:rPr>
        <w:t xml:space="preserve">“Para acreditar la inexistencia de incremento de valor, como valores reales de transmisión y de adquisición del terreno se tomarán los satisfechos respectivamente en la transmisión y adquisición del bien inmueble que consten en los títulos que documenten las citadas operaciones, sin que a estos efectos puedan computarse los gastos o tributos que graven dichas operaciones, o bien los comprobados por el Ayuntamiento o por la Administración tributaria a quien corresponda la gestión del impuesto que grava la transmisión del inmueble, en caso de que sean mayores a aquellos.”</w:t>
      </w:r>
    </w:p>
    <w:p>
      <w:pPr>
        <w:pStyle w:val="0"/>
        <w:suppressAutoHyphens w:val="false"/>
        <w:rPr>
          <w:rStyle w:val="1"/>
          <w:spacing w:val="-2.88"/>
        </w:rPr>
      </w:pPr>
      <w:r>
        <w:rPr>
          <w:rStyle w:val="1"/>
          <w:u w:val="single"/>
          <w:spacing w:val="-2.88"/>
        </w:rPr>
        <w:t xml:space="preserve">Dos</w:t>
      </w:r>
      <w:r>
        <w:rPr>
          <w:rStyle w:val="1"/>
          <w:spacing w:val="-2.88"/>
        </w:rPr>
        <w:t xml:space="preserve">. Artículo 175.2, adición de un último párrafo.</w:t>
      </w:r>
    </w:p>
    <w:p>
      <w:pPr>
        <w:pStyle w:val="0"/>
        <w:suppressAutoHyphens w:val="false"/>
        <w:rPr>
          <w:rStyle w:val="1"/>
        </w:rPr>
      </w:pPr>
      <w:r>
        <w:rPr>
          <w:rStyle w:val="1"/>
        </w:rPr>
        <w:t xml:space="preserve">“Si, como consecuencia de la actualización referida en el párrafo anterior, alguno de los coeficientes aprobados por el ayuntamiento resultara ser superior al correspondiente nuevo máximo legal, se aplicará este directamente hasta que entren en vigor los nuevos coeficientes aprobados por el ayuntamiento que corrijan dicho exceso.”</w:t>
      </w:r>
    </w:p>
    <w:p>
      <w:pPr>
        <w:pStyle w:val="0"/>
        <w:suppressAutoHyphens w:val="false"/>
        <w:rPr>
          <w:rStyle w:val="1"/>
        </w:rPr>
      </w:pPr>
      <w:r>
        <w:rPr>
          <w:rStyle w:val="1"/>
          <w:u w:val="single"/>
        </w:rPr>
        <w:t xml:space="preserve">Tres</w:t>
      </w:r>
      <w:r>
        <w:rPr>
          <w:rStyle w:val="1"/>
        </w:rPr>
        <w:t xml:space="preserve">. Artículo 175.6.</w:t>
      </w:r>
    </w:p>
    <w:p>
      <w:pPr>
        <w:pStyle w:val="0"/>
        <w:suppressAutoHyphens w:val="false"/>
        <w:rPr>
          <w:rStyle w:val="1"/>
        </w:rPr>
      </w:pPr>
      <w:r>
        <w:rPr>
          <w:rStyle w:val="1"/>
        </w:rPr>
        <w:t xml:space="preserve">“6. En los supuestos de expropiación forzosa, el coeficiente que corresponda al periodo de generación conforme a lo previsto en el apartado 2 se aplicará sobre la parte del justiprecio que corresponda al valor del terreno, salvo que el valor definido en el apartado 3 fuese inferior, en cuyo caso prevalecerá este último sobre el justiprecio.”</w:t>
      </w:r>
    </w:p>
    <w:p>
      <w:pPr>
        <w:pStyle w:val="0"/>
        <w:suppressAutoHyphens w:val="false"/>
        <w:rPr>
          <w:rStyle w:val="1"/>
        </w:rPr>
      </w:pPr>
      <w:r>
        <w:rPr>
          <w:rStyle w:val="1"/>
          <w:u w:val="single"/>
        </w:rPr>
        <w:t xml:space="preserve">Cuatro</w:t>
      </w:r>
      <w:r>
        <w:rPr>
          <w:rStyle w:val="1"/>
        </w:rPr>
        <w:t xml:space="preserve">. Artículo 175, adición de un apartado 7.</w:t>
      </w:r>
    </w:p>
    <w:p>
      <w:pPr>
        <w:pStyle w:val="0"/>
        <w:suppressAutoHyphens w:val="false"/>
        <w:rPr>
          <w:rStyle w:val="1"/>
        </w:rPr>
      </w:pPr>
      <w:r>
        <w:rPr>
          <w:rStyle w:val="1"/>
        </w:rPr>
        <w:t xml:space="preserve">“7. Cuando, a instancia del sujeto pasivo, se constate que el importe del incremento de valor determinado de acuerdo con lo dispuesto en el artículo 172.4 es inferior al importe de la base imponible determinada con arreglo a lo dispuesto en los apartados anteriores, se tomará como base imponible el importe de dicho incremento de valor.”</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