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t xml:space="preserve">tzarrari en</w:t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</w:t>
        <w:softHyphen/>
        <w:t xml:space="preserve">na</w:t>
        <w:softHyphen/>
        <w:t xml:space="preserve">ren gai</w:t>
        <w:softHyphen/>
        <w:t xml:space="preserve">ne</w:t>
        <w:softHyphen/>
        <w:t xml:space="preserve">an dagoela Ainhoa Unzu Garate andreak Reactivar Navarra-Nafarroa Suspertu partiden aurrekontu-betetzeari buruz aur</w:t>
        <w:softHyphen/>
        <w:t xml:space="preserve">kez</w:t>
        <w:softHyphen/>
        <w:t xml:space="preserve">tu</w:t>
        <w:softHyphen/>
        <w:t xml:space="preserve">ri</w:t>
        <w:softHyphen/>
        <w:t xml:space="preserve">ko gal</w:t>
        <w:softHyphen/>
        <w:t xml:space="preserve">de</w:t>
        <w:softHyphen/>
        <w:t xml:space="preserve">ra erre</w:t>
        <w:softHyphen/>
        <w:t xml:space="preserve">ti</w:t>
        <w:softHyphen/>
        <w:t xml:space="preserve">ra</w:t>
        <w:softHyphen/>
        <w:t xml:space="preserve">tu izanaz, zeina 2021eko azaroaren 23ko 134.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baitzen (10-21/POR-00437).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