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tblInd w:w="-1152" w:type="dxa"/>
        <w:tblLook w:val="01E0" w:firstRow="1" w:lastRow="1" w:firstColumn="1" w:lastColumn="1" w:noHBand="0" w:noVBand="0"/>
      </w:tblPr>
      <w:tblGrid>
        <w:gridCol w:w="267"/>
        <w:gridCol w:w="10066"/>
      </w:tblGrid>
      <w:tr w:rsidR="00F011E0" w:rsidRPr="00031327" w14:paraId="0190BA7E" w14:textId="77777777" w:rsidTr="00A24A4A">
        <w:trPr>
          <w:trHeight w:val="2472"/>
        </w:trPr>
        <w:tc>
          <w:tcPr>
            <w:tcW w:w="267" w:type="dxa"/>
            <w:shd w:val="clear" w:color="auto" w:fill="auto"/>
          </w:tcPr>
          <w:p w14:paraId="42EF7039" w14:textId="77777777" w:rsidR="00F011E0" w:rsidRPr="00031327" w:rsidRDefault="00F011E0" w:rsidP="00E2171F">
            <w:pPr>
              <w:spacing w:line="360" w:lineRule="auto"/>
              <w:ind w:left="-3384" w:right="-1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6" w:type="dxa"/>
            <w:shd w:val="clear" w:color="auto" w:fill="auto"/>
          </w:tcPr>
          <w:p w14:paraId="76B10EC6" w14:textId="77777777" w:rsidR="00F011E0" w:rsidRPr="00031327" w:rsidRDefault="00F011E0" w:rsidP="00A24A4A">
            <w:pPr>
              <w:spacing w:line="360" w:lineRule="auto"/>
              <w:ind w:left="-108" w:right="-12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A96F5" w14:textId="06B87072" w:rsidR="00C912F2" w:rsidRDefault="007817FD" w:rsidP="005F160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EH Bildu Nafarroa talde parlamentarioari atxikitako foru parlamentari Maiorga Ramírez Erro jaunak idatziz erantzuteko 10-21//PES-00341 galdera egin du, jakin nahi baitu ea </w:t>
      </w:r>
      <w:r>
        <w:rPr>
          <w:sz w:val="20"/>
          <w:szCs w:val="20"/>
          <w:i/>
          <w:rFonts w:ascii="Arial" w:hAnsi="Arial"/>
        </w:rPr>
        <w:t xml:space="preserve">Nafarroako Gobernuak zer jarrera duen eta noraino inplikatu nahi duen Vianako Andre Maria eliza zaharberritzeko obrei dagokienez</w:t>
      </w:r>
      <w:r>
        <w:rPr>
          <w:sz w:val="20"/>
          <w:szCs w:val="20"/>
          <w:rFonts w:ascii="Arial" w:hAnsi="Arial"/>
        </w:rPr>
        <w:t xml:space="preserve">. Hau da Nafarroako Gobernuko Kultura eta Kiroleko kontseilariak horretaz ematen dion informazioa:</w:t>
      </w:r>
    </w:p>
    <w:p w14:paraId="46E2858F" w14:textId="13E88673" w:rsidR="00C912F2" w:rsidRDefault="00663630" w:rsidP="005F160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Kultura eta Kirol Departamentuak legegintzaldian zehar Vianako Andre Maria elizaren egoerari buruzko informazioa jaso izan du Vianako Udalarengandik eta Iruña eta Tuterako Artzapezpikutzarengandik.</w:t>
      </w:r>
      <w:r>
        <w:rPr>
          <w:sz w:val="20"/>
          <w:szCs w:val="20"/>
          <w:rFonts w:ascii="Arial" w:hAnsi="Arial"/>
        </w:rPr>
        <w:t xml:space="preserve"> </w:t>
      </w:r>
    </w:p>
    <w:p w14:paraId="4F974318" w14:textId="77777777" w:rsidR="00C912F2" w:rsidRDefault="00663630" w:rsidP="005F160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Eraikina Donejakue Bidean dago eta interes kulturaleko ondasun izendatuta dago. Beraz, ezagutu egin behar ditugu haren arazo egiturazkoak eta arkitektonikoak, bai eta haren egungo egoerak sor ditzakeen arriskuak ere.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Hori guztia, zaharberritze eta mantentze lanen bidezko balizko esku-hartze bat baloratzeko, zeinak berekin ekarriko bailuke Kultur Eskubideei buruzko Foru Legeak interes kulturaleko ondasunei esleitzen dizkien eskubideak eta betebeharrak betetzea, herritarrek haietarako irispidea izateari dagokionez.</w:t>
      </w:r>
    </w:p>
    <w:p w14:paraId="5D962043" w14:textId="2BFE2326" w:rsidR="00C912F2" w:rsidRDefault="00312DEF" w:rsidP="00EB6D38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030"/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Hori guztia jakinarazten dizut, Nafarroako Parlamentuko Erregelamenduaren 194. artikuluan xedatutakoa betez.</w:t>
      </w:r>
    </w:p>
    <w:p w14:paraId="078D2CC6" w14:textId="77777777" w:rsidR="00C912F2" w:rsidRDefault="00312DEF" w:rsidP="00312DEF">
      <w:pPr>
        <w:ind w:left="-360" w:right="1314"/>
        <w:jc w:val="center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Iruñean, 2021eko azaroaren 22an</w:t>
      </w:r>
    </w:p>
    <w:p w14:paraId="08EC0DA6" w14:textId="2147B86A" w:rsidR="00C912F2" w:rsidRDefault="00C912F2" w:rsidP="00C912F2">
      <w:pPr>
        <w:ind w:left="-360" w:right="1314"/>
        <w:jc w:val="center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Kultura eta Kiroleko kontseilaria: Rebeca Esnaola Bermejo</w:t>
      </w:r>
    </w:p>
    <w:p w14:paraId="4098B8AA" w14:textId="3ABD3D79" w:rsidR="00BA6F81" w:rsidRPr="00EB6D38" w:rsidRDefault="00BA6F81" w:rsidP="000E084F">
      <w:pPr>
        <w:ind w:right="1314"/>
        <w:rPr>
          <w:rFonts w:ascii="Arial" w:hAnsi="Arial" w:cs="Arial"/>
          <w:sz w:val="20"/>
          <w:szCs w:val="20"/>
        </w:rPr>
      </w:pPr>
    </w:p>
    <w:sectPr w:rsidR="00BA6F81" w:rsidRPr="00EB6D38" w:rsidSect="00BA6F81">
      <w:footerReference w:type="even" r:id="rId8"/>
      <w:footerReference w:type="default" r:id="rId9"/>
      <w:type w:val="continuous"/>
      <w:pgSz w:w="11906" w:h="16838"/>
      <w:pgMar w:top="568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4ED0" w14:textId="77777777" w:rsidR="00786B53" w:rsidRDefault="00786B53">
      <w:r>
        <w:separator/>
      </w:r>
    </w:p>
  </w:endnote>
  <w:endnote w:type="continuationSeparator" w:id="0">
    <w:p w14:paraId="6C624075" w14:textId="77777777" w:rsidR="00786B53" w:rsidRDefault="007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50DA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FB9AA7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3BD0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EB9D" w14:textId="77777777" w:rsidR="00786B53" w:rsidRDefault="00786B53">
      <w:r>
        <w:separator/>
      </w:r>
    </w:p>
  </w:footnote>
  <w:footnote w:type="continuationSeparator" w:id="0">
    <w:p w14:paraId="1277E64B" w14:textId="77777777" w:rsidR="00786B53" w:rsidRDefault="0078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E947CE5"/>
    <w:multiLevelType w:val="hybridMultilevel"/>
    <w:tmpl w:val="543AD0D0"/>
    <w:lvl w:ilvl="0" w:tplc="BFC434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64D8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4EF7"/>
    <w:rsid w:val="000B7A9E"/>
    <w:rsid w:val="000C1E83"/>
    <w:rsid w:val="000C232F"/>
    <w:rsid w:val="000C2808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2714A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557B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252"/>
    <w:rsid w:val="00210319"/>
    <w:rsid w:val="00211E9B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2DE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2F81"/>
    <w:rsid w:val="003A5AC1"/>
    <w:rsid w:val="003A5F18"/>
    <w:rsid w:val="003A73FD"/>
    <w:rsid w:val="003B3110"/>
    <w:rsid w:val="003B51D9"/>
    <w:rsid w:val="003C117B"/>
    <w:rsid w:val="003C38FF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379EF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1801"/>
    <w:rsid w:val="00485F3D"/>
    <w:rsid w:val="00491EFE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2288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601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3630"/>
    <w:rsid w:val="00664DF6"/>
    <w:rsid w:val="00664EB6"/>
    <w:rsid w:val="00666021"/>
    <w:rsid w:val="006741EB"/>
    <w:rsid w:val="00676050"/>
    <w:rsid w:val="0068174E"/>
    <w:rsid w:val="00681B15"/>
    <w:rsid w:val="00686AA2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6B5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14B5"/>
    <w:rsid w:val="007C2FE9"/>
    <w:rsid w:val="007C4D81"/>
    <w:rsid w:val="007C7EFA"/>
    <w:rsid w:val="007D1CA8"/>
    <w:rsid w:val="007D35A9"/>
    <w:rsid w:val="007D4D50"/>
    <w:rsid w:val="007D7B90"/>
    <w:rsid w:val="007E3354"/>
    <w:rsid w:val="007F20DF"/>
    <w:rsid w:val="007F5436"/>
    <w:rsid w:val="007F59F5"/>
    <w:rsid w:val="007F6746"/>
    <w:rsid w:val="007F771A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E7906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3F1B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49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0824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12F2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D76F4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521FA"/>
    <w:rsid w:val="00E57B75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B6D38"/>
    <w:rsid w:val="00ED0102"/>
    <w:rsid w:val="00ED7375"/>
    <w:rsid w:val="00EF1229"/>
    <w:rsid w:val="00EF2DF9"/>
    <w:rsid w:val="00EF3E9A"/>
    <w:rsid w:val="00F004E7"/>
    <w:rsid w:val="00F00A8B"/>
    <w:rsid w:val="00F011E0"/>
    <w:rsid w:val="00F126BA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75BC1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DE0914"/>
  <w15:chartTrackingRefBased/>
  <w15:docId w15:val="{713FECEC-C757-486B-B6C0-AC0EB5D0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5A82-B4D7-4C8E-AB33-CA028D51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dc:description/>
  <cp:lastModifiedBy>Aranaz, Carlota</cp:lastModifiedBy>
  <cp:revision>3</cp:revision>
  <cp:lastPrinted>2020-01-29T11:04:00Z</cp:lastPrinted>
  <dcterms:created xsi:type="dcterms:W3CDTF">2021-12-17T12:06:00Z</dcterms:created>
  <dcterms:modified xsi:type="dcterms:W3CDTF">2021-12-17T12:07:00Z</dcterms:modified>
</cp:coreProperties>
</file>