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87CC6" w14:textId="57679A5B" w:rsidR="003D4AFB" w:rsidRPr="003D4AFB" w:rsidRDefault="00577C70" w:rsidP="00AA6BBD">
      <w:pPr>
        <w:spacing w:after="240" w:line="360" w:lineRule="auto"/>
        <w:ind w:left="426"/>
        <w:jc w:val="both"/>
        <w:rPr>
          <w:sz w:val="24"/>
          <w:szCs w:val="24"/>
          <w:rFonts w:ascii="Arial" w:hAnsi="Arial" w:cs="Arial"/>
        </w:rPr>
      </w:pPr>
      <w:r>
        <w:rPr>
          <w:sz w:val="24"/>
          <w:szCs w:val="24"/>
          <w:rFonts w:ascii="Arial" w:hAnsi="Arial"/>
        </w:rPr>
        <w:t xml:space="preserve">Navarra Suma talde parlamentarioari atxikitako foru parlamentari Yolanda Ibáñez Pérez andreak idatziz erantzuteko galdera egin du (10-21/PES-00361), honako hau jakin nahi baitu: </w:t>
      </w:r>
      <w:r>
        <w:rPr>
          <w:sz w:val="24"/>
          <w:szCs w:val="24"/>
          <w:i/>
          <w:rFonts w:ascii="Arial" w:hAnsi="Arial"/>
        </w:rPr>
        <w:t xml:space="preserve">"Zer irizpide baliatu dira 2.500 biztanle baino gutxiagoko udalek gastuei aurre egin ahal izatea bermatzeko behar diren zenbatekoak ezartzeko?"</w:t>
      </w:r>
      <w:r>
        <w:rPr>
          <w:sz w:val="24"/>
          <w:szCs w:val="24"/>
          <w:rFonts w:ascii="Arial" w:hAnsi="Arial"/>
        </w:rPr>
        <w:t xml:space="preserve">. Hori dela-eta, hona Nafarroako Gobernuko Lurralde Kohesiorako kontseilari Bernardo Ciriza Pérez jaunak ematen dion informazioa: orain arte erabili den formularekin, finantzabideak zenbait aldagairen arabera banatzen ziren, eta horien artean udalerriaren populazioa eta hiri azalera ziren aldagai nagusiak.</w:t>
      </w:r>
      <w:r>
        <w:rPr>
          <w:sz w:val="24"/>
          <w:szCs w:val="24"/>
          <w:rFonts w:ascii="Arial" w:hAnsi="Arial"/>
        </w:rPr>
        <w:t xml:space="preserve"> </w:t>
      </w:r>
      <w:r>
        <w:rPr>
          <w:sz w:val="24"/>
          <w:szCs w:val="24"/>
          <w:rFonts w:ascii="Arial" w:hAnsi="Arial"/>
        </w:rPr>
        <w:t xml:space="preserve">Banaketan aldagai horiek balio txikiak esleitzen dizkiete biztanle gutxiago dituzten udalerriei, eta azken zenbatekoa berme-klausularen emaitza izaten da batez ere.</w:t>
      </w:r>
    </w:p>
    <w:p w14:paraId="6E57804F" w14:textId="77777777" w:rsidR="003D4AFB" w:rsidRPr="003D4AFB" w:rsidRDefault="003D4AFB" w:rsidP="00AA6BBD">
      <w:pPr>
        <w:spacing w:after="240" w:line="360" w:lineRule="auto"/>
        <w:ind w:left="426"/>
        <w:jc w:val="both"/>
        <w:rPr>
          <w:sz w:val="24"/>
          <w:szCs w:val="24"/>
          <w:rFonts w:ascii="Arial" w:hAnsi="Arial" w:cs="Arial"/>
        </w:rPr>
      </w:pPr>
      <w:r>
        <w:rPr>
          <w:sz w:val="24"/>
          <w:szCs w:val="24"/>
          <w:rFonts w:ascii="Arial" w:hAnsi="Arial"/>
        </w:rPr>
        <w:t xml:space="preserve">Kontuen Ganberak 2019ko martxoan txostena eman zuen toki ogasunek Nafarroako tributuetan parte hartzeko duten funtsari buruz (2009-2018), eta IV. atalean (Gomendioak) iradoki zuen “udalerri bakoitzeko finantzaketa-zenbateko finko bat ezartzeko aukera” aztertzea.</w:t>
      </w:r>
      <w:r>
        <w:rPr>
          <w:sz w:val="24"/>
          <w:szCs w:val="24"/>
          <w:rFonts w:ascii="Arial" w:hAnsi="Arial"/>
        </w:rPr>
        <w:t xml:space="preserve"> </w:t>
      </w:r>
    </w:p>
    <w:p w14:paraId="2DE2425F" w14:textId="77777777" w:rsidR="003D4AFB" w:rsidRPr="003D4AFB" w:rsidRDefault="003D4AFB" w:rsidP="00AA6BBD">
      <w:pPr>
        <w:spacing w:after="240" w:line="360" w:lineRule="auto"/>
        <w:ind w:left="426"/>
        <w:jc w:val="both"/>
        <w:rPr>
          <w:sz w:val="24"/>
          <w:szCs w:val="24"/>
          <w:rFonts w:ascii="Arial" w:hAnsi="Arial" w:cs="Arial"/>
        </w:rPr>
      </w:pPr>
      <w:r>
        <w:rPr>
          <w:sz w:val="24"/>
          <w:szCs w:val="24"/>
          <w:rFonts w:ascii="Arial" w:hAnsi="Arial"/>
        </w:rPr>
        <w:t xml:space="preserve">Nafarroako Unibertsitate Publikoak proposatu duen formula berriak eguneratu egiten ditu aldagaiak eta horien haztapenak, baina lehengo dinamikari eusten zaio udalerri txikiagoentzat. Horregatik komenigarritzat jotzen da zenbateko finko bat ezartzea udalerri bakoitzeko, lehengo formularen arazoa konpontze aldera.</w:t>
      </w:r>
    </w:p>
    <w:p w14:paraId="5C191119" w14:textId="77777777" w:rsidR="003D4AFB" w:rsidRPr="003D4AFB" w:rsidRDefault="003D4AFB" w:rsidP="00AA6BBD">
      <w:pPr>
        <w:spacing w:after="240" w:line="360" w:lineRule="auto"/>
        <w:ind w:left="426"/>
        <w:jc w:val="both"/>
        <w:rPr>
          <w:sz w:val="24"/>
          <w:szCs w:val="24"/>
          <w:rFonts w:ascii="Arial" w:hAnsi="Arial" w:cs="Arial"/>
        </w:rPr>
      </w:pPr>
      <w:r>
        <w:rPr>
          <w:sz w:val="24"/>
          <w:szCs w:val="24"/>
          <w:rFonts w:ascii="Arial" w:hAnsi="Arial"/>
        </w:rPr>
        <w:t xml:space="preserve">Udalerriek tributuetan parte hartzeko beste banaketa sistema batzuk azterturik, ikusi da Estatuko sistemak ez duela aurreikusten halako mekanismorik. Izan ere, sistema bat ezartzen du bildutakoaren zati bat probintzia edo autonomia-erkidegoetako hiriburuen edo 75.000 biztanletik gorako udalerrien artean banatzen duena eta beste sistema bat funts osagarri batean parte hartzekoa zeina udalerriaren biztanle kopuruaren arabera banatzen baita.</w:t>
      </w:r>
    </w:p>
    <w:p w14:paraId="6EF344BF" w14:textId="77777777" w:rsidR="00FC5A03" w:rsidRDefault="003D4AFB" w:rsidP="003D4AFB">
      <w:pPr>
        <w:spacing w:line="360" w:lineRule="auto"/>
        <w:ind w:left="426"/>
        <w:jc w:val="both"/>
        <w:rPr>
          <w:strike/>
          <w:color w:val="FF0000"/>
          <w:sz w:val="24"/>
          <w:szCs w:val="24"/>
          <w:rFonts w:ascii="Arial" w:hAnsi="Arial" w:cs="Arial"/>
        </w:rPr>
      </w:pPr>
      <w:r>
        <w:rPr>
          <w:sz w:val="24"/>
          <w:szCs w:val="24"/>
          <w:rFonts w:ascii="Arial" w:hAnsi="Arial"/>
        </w:rPr>
        <w:t xml:space="preserve">Euskal Autonomia Erkidegoak funts bana dauka bere probintzientzat, eta Arabako eta Gipuzkoako funtsek erregulatzen dute aldagai hau.</w:t>
      </w:r>
    </w:p>
    <w:p w14:paraId="0A99FF64" w14:textId="12E4CF59" w:rsidR="003D4AFB" w:rsidRPr="003D4AFB" w:rsidRDefault="003D4AFB" w:rsidP="00AA6BBD">
      <w:pPr>
        <w:spacing w:after="240" w:line="360" w:lineRule="auto"/>
        <w:ind w:left="426"/>
        <w:jc w:val="both"/>
        <w:rPr>
          <w:sz w:val="24"/>
          <w:szCs w:val="24"/>
          <w:rFonts w:ascii="Arial" w:hAnsi="Arial" w:cs="Arial"/>
        </w:rPr>
      </w:pPr>
      <w:r>
        <w:rPr>
          <w:sz w:val="24"/>
          <w:szCs w:val="24"/>
          <w:rFonts w:ascii="Arial" w:hAnsi="Arial"/>
        </w:rPr>
        <w:t xml:space="preserve">Proposatu den banaketa sistema berriaren kasuan, zenbateko finko beherakorraren sistema hautatu da, eta irizpide hau ezarri da: 30.000 euro 1.000 biztanletik beherako udalerrientzat, hau da, 189 udalerrirentzat (% 70), eta 25.000 euro 1.000-2.500 biztanleko udalerrientzat, hau da, 36 udalerrirentzat (% 13); guztira, 225 udalerri (% 83).</w:t>
      </w:r>
    </w:p>
    <w:p w14:paraId="50E747DD" w14:textId="77777777" w:rsidR="003D4AFB" w:rsidRPr="003D4AFB" w:rsidRDefault="003D4AFB" w:rsidP="00AA6BBD">
      <w:pPr>
        <w:spacing w:after="240" w:line="360" w:lineRule="auto"/>
        <w:ind w:left="426"/>
        <w:jc w:val="both"/>
        <w:rPr>
          <w:sz w:val="24"/>
          <w:szCs w:val="24"/>
          <w:rFonts w:ascii="Arial" w:hAnsi="Arial" w:cs="Arial"/>
        </w:rPr>
      </w:pPr>
      <w:r>
        <w:rPr>
          <w:sz w:val="24"/>
          <w:szCs w:val="24"/>
          <w:rFonts w:ascii="Arial" w:hAnsi="Arial"/>
        </w:rPr>
        <w:t xml:space="preserve">Biztanleria eta ematen zaizkion zerbitzuak hazi ahala toki entitateen gastu arruntak gora egiten du, baina ez modu linealean, badirelako gutxieneko zerbitzu batzuk entitate guztiek bete behar dituztenak tamaina gorabehera (idazkaritza, kaleko argiak, hilerria, bide azpiegitura eta abarrekoak).</w:t>
      </w:r>
    </w:p>
    <w:p w14:paraId="194CF6D0" w14:textId="77777777" w:rsidR="00FC5A03" w:rsidRDefault="003D4AFB" w:rsidP="003D4AFB">
      <w:pPr>
        <w:spacing w:line="360" w:lineRule="auto"/>
        <w:ind w:left="426"/>
        <w:jc w:val="both"/>
        <w:rPr>
          <w:sz w:val="24"/>
          <w:szCs w:val="24"/>
          <w:rFonts w:ascii="Arial" w:hAnsi="Arial" w:cs="Arial"/>
        </w:rPr>
      </w:pPr>
      <w:r>
        <w:rPr>
          <w:sz w:val="24"/>
          <w:szCs w:val="24"/>
          <w:rFonts w:ascii="Arial" w:hAnsi="Arial"/>
        </w:rPr>
        <w:t xml:space="preserve">Banaketan kontuan hartzen diren gainerako aldagaien arabera entitate bakoitzak jasotzen duen diru-esleipena indartzea da zenbateko finkoaren helburua, nahitaezkoak diren egiturazko behar oinarrizkoak ase ahal ditzan. Xede horretarako egokitzat jotzen diren gutxieneko zenbateko batzuk ezartzen dira.</w:t>
      </w:r>
    </w:p>
    <w:p w14:paraId="3A5969CF" w14:textId="77777777" w:rsidR="00FC5A03" w:rsidRDefault="00577C70" w:rsidP="00577C70">
      <w:pPr>
        <w:spacing w:line="360" w:lineRule="auto"/>
        <w:ind w:left="426"/>
        <w:jc w:val="both"/>
        <w:rPr>
          <w:sz w:val="24"/>
          <w:szCs w:val="24"/>
          <w:rFonts w:ascii="Arial" w:hAnsi="Arial" w:cs="Arial"/>
        </w:rPr>
      </w:pPr>
      <w:r>
        <w:rPr>
          <w:sz w:val="24"/>
          <w:szCs w:val="24"/>
          <w:rFonts w:ascii="Arial" w:hAnsi="Arial"/>
        </w:rPr>
        <w:t xml:space="preserve">Hori guztia jakinarazten dizut, Nafarroako Parlamentuko Erregelamenduaren 194. artikuluan xedatutakoa betez.</w:t>
      </w:r>
    </w:p>
    <w:p w14:paraId="588E876F" w14:textId="77777777" w:rsidR="00FC3686" w:rsidRDefault="00577C70" w:rsidP="00577C70">
      <w:pPr>
        <w:spacing w:line="360" w:lineRule="auto"/>
        <w:jc w:val="center"/>
        <w:rPr>
          <w:sz w:val="24"/>
          <w:szCs w:val="24"/>
          <w:rFonts w:ascii="Arial" w:hAnsi="Arial" w:cs="Arial"/>
        </w:rPr>
      </w:pPr>
      <w:r>
        <w:rPr>
          <w:sz w:val="24"/>
          <w:szCs w:val="24"/>
          <w:rFonts w:ascii="Arial" w:hAnsi="Arial"/>
        </w:rPr>
        <w:t xml:space="preserve">Iruñean, 2021eko abenduaren 9an</w:t>
      </w:r>
    </w:p>
    <w:p w14:paraId="5409795E" w14:textId="1961D0A8" w:rsidR="00577C70" w:rsidRDefault="00FC3686" w:rsidP="00577C70">
      <w:pPr>
        <w:spacing w:line="360" w:lineRule="auto"/>
        <w:jc w:val="center"/>
        <w:rPr>
          <w:sz w:val="24"/>
          <w:szCs w:val="24"/>
          <w:rFonts w:ascii="Arial" w:hAnsi="Arial" w:cs="Arial"/>
        </w:rPr>
      </w:pPr>
      <w:r>
        <w:rPr>
          <w:sz w:val="24"/>
          <w:szCs w:val="24"/>
          <w:rFonts w:ascii="Arial" w:hAnsi="Arial"/>
        </w:rPr>
        <w:t xml:space="preserve">Lurralde Kohesiorako kontseilaria: Bernardo Ciriza Pérez</w:t>
      </w:r>
    </w:p>
    <w:sectPr w:rsidR="00577C70" w:rsidSect="005B095B">
      <w:headerReference w:type="default" r:id="rId7"/>
      <w:headerReference w:type="first" r:id="rId8"/>
      <w:footerReference w:type="first" r:id="rId9"/>
      <w:pgSz w:w="11906" w:h="16838" w:code="9"/>
      <w:pgMar w:top="1701" w:right="1418" w:bottom="1418" w:left="1418" w:header="851" w:footer="709"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C20BB" w14:textId="77777777" w:rsidR="00594EC5" w:rsidRDefault="00594EC5">
      <w:r>
        <w:separator/>
      </w:r>
    </w:p>
  </w:endnote>
  <w:endnote w:type="continuationSeparator" w:id="0">
    <w:p w14:paraId="338C1E04" w14:textId="77777777" w:rsidR="00594EC5" w:rsidRDefault="0059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41F0" w14:textId="77777777" w:rsidR="00A2145B" w:rsidRPr="00A2145B" w:rsidRDefault="00A2145B" w:rsidP="00A2145B">
    <w:pPr>
      <w:pStyle w:val="Piedepgina"/>
      <w:jc w:val="right"/>
      <w:rPr>
        <w:sz w:val="18"/>
        <w:szCs w:val="18"/>
        <w:rFonts w:ascii="Courier New" w:hAnsi="Courier New" w:cs="Courier New"/>
      </w:rPr>
    </w:pPr>
    <w:r>
      <w:rPr>
        <w:sz w:val="18"/>
        <w:szCs w:val="18"/>
        <w:rFonts w:ascii="Courier New" w:hAnsi="Courier New"/>
      </w:rPr>
      <w:t xml:space="preserve">Or.: </w:t>
    </w:r>
    <w:r w:rsidR="000A0670" w:rsidRPr="00A2145B">
      <w:rPr>
        <w:rStyle w:val="Nmerodepgina"/>
        <w:sz w:val="18"/>
        <w:szCs w:val="18"/>
        <w:rFonts w:ascii="Courier New" w:hAnsi="Courier New" w:cs="Courier New"/>
      </w:rPr>
      <w:fldChar w:fldCharType="begin"/>
    </w:r>
    <w:r w:rsidRPr="00A2145B">
      <w:rPr>
        <w:rStyle w:val="Nmerodepgina"/>
        <w:sz w:val="18"/>
        <w:szCs w:val="18"/>
        <w:rFonts w:ascii="Courier New" w:hAnsi="Courier New" w:cs="Courier New"/>
      </w:rPr>
      <w:instrText xml:space="preserve"> PAGE </w:instrText>
    </w:r>
    <w:r w:rsidR="000A0670" w:rsidRPr="00A2145B">
      <w:rPr>
        <w:rStyle w:val="Nmerodepgina"/>
        <w:sz w:val="18"/>
        <w:szCs w:val="18"/>
        <w:rFonts w:ascii="Courier New" w:hAnsi="Courier New" w:cs="Courier New"/>
      </w:rPr>
      <w:fldChar w:fldCharType="separate"/>
    </w:r>
    <w:r w:rsidR="00C362DE">
      <w:rPr>
        <w:rStyle w:val="Nmerodepgina"/>
        <w:sz w:val="18"/>
        <w:szCs w:val="18"/>
        <w:rFonts w:ascii="Courier New" w:hAnsi="Courier New" w:cs="Courier New"/>
      </w:rPr>
      <w:t>1</w:t>
    </w:r>
    <w:r w:rsidR="000A0670" w:rsidRPr="00A2145B">
      <w:rPr>
        <w:rStyle w:val="Nmerodepgina"/>
        <w:sz w:val="18"/>
        <w:szCs w:val="18"/>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00214" w14:textId="77777777" w:rsidR="00594EC5" w:rsidRDefault="00594EC5">
      <w:r>
        <w:separator/>
      </w:r>
    </w:p>
  </w:footnote>
  <w:footnote w:type="continuationSeparator" w:id="0">
    <w:p w14:paraId="3CEE7A56" w14:textId="77777777" w:rsidR="00594EC5" w:rsidRDefault="00594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AE86" w14:textId="73AC9A38" w:rsidR="00696F6F" w:rsidRPr="007250F0" w:rsidRDefault="00832136" w:rsidP="00B17CCC">
    <w:pPr>
      <w:pStyle w:val="Encabezado"/>
      <w:tabs>
        <w:tab w:val="clear" w:pos="4252"/>
        <w:tab w:val="clear" w:pos="8504"/>
        <w:tab w:val="left" w:pos="7860"/>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451B" w14:textId="77777777" w:rsidR="00696F6F" w:rsidRDefault="00CA2943" w:rsidP="00696F6F">
    <w:pPr>
      <w:pStyle w:val="Encabezado"/>
      <w:ind w:left="-765"/>
    </w:pPr>
    <w:r>
      <w:drawing>
        <wp:anchor distT="0" distB="0" distL="114300" distR="114300" simplePos="0" relativeHeight="251657216" behindDoc="0" locked="0" layoutInCell="1" allowOverlap="1" wp14:anchorId="1C857607" wp14:editId="470DA3A3">
          <wp:simplePos x="0" y="0"/>
          <wp:positionH relativeFrom="page">
            <wp:align>left</wp:align>
          </wp:positionH>
          <wp:positionV relativeFrom="page">
            <wp:align>top</wp:align>
          </wp:positionV>
          <wp:extent cx="7569186" cy="1803058"/>
          <wp:effectExtent l="25400" t="0" r="14" b="0"/>
          <wp:wrapNone/>
          <wp:docPr id="10" name="Imagen 10" descr="DG Funcion 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G Funcion Publica"/>
                  <pic:cNvPicPr>
                    <a:picLocks noChangeAspect="1" noChangeArrowheads="1"/>
                  </pic:cNvPicPr>
                </pic:nvPicPr>
                <pic:blipFill>
                  <a:blip r:embed="rId1"/>
                  <a:stretch>
                    <a:fillRect/>
                  </a:stretch>
                </pic:blipFill>
                <pic:spPr bwMode="auto">
                  <a:xfrm>
                    <a:off x="0" y="0"/>
                    <a:ext cx="7569186" cy="1803058"/>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15F"/>
    <w:multiLevelType w:val="hybridMultilevel"/>
    <w:tmpl w:val="70747DA8"/>
    <w:lvl w:ilvl="0" w:tplc="A1F23180">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0DF774C4"/>
    <w:multiLevelType w:val="hybridMultilevel"/>
    <w:tmpl w:val="C0C0125E"/>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2" w15:restartNumberingAfterBreak="0">
    <w:nsid w:val="23D304F4"/>
    <w:multiLevelType w:val="hybridMultilevel"/>
    <w:tmpl w:val="023C2D06"/>
    <w:lvl w:ilvl="0" w:tplc="591AA4BA">
      <w:start w:val="1"/>
      <w:numFmt w:val="decimal"/>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dirty" w:grammar="dirty"/>
  <w:defaultTabStop w:val="708"/>
  <w:hyphenationZone w:val="425"/>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784"/>
    <w:rsid w:val="0004511B"/>
    <w:rsid w:val="000729E0"/>
    <w:rsid w:val="0009463A"/>
    <w:rsid w:val="000A0670"/>
    <w:rsid w:val="000A2D4E"/>
    <w:rsid w:val="000B64A1"/>
    <w:rsid w:val="000D4D21"/>
    <w:rsid w:val="000F462E"/>
    <w:rsid w:val="0012427F"/>
    <w:rsid w:val="00167E09"/>
    <w:rsid w:val="00192C26"/>
    <w:rsid w:val="001C0467"/>
    <w:rsid w:val="001D2D33"/>
    <w:rsid w:val="001F7B80"/>
    <w:rsid w:val="002168BE"/>
    <w:rsid w:val="0022276B"/>
    <w:rsid w:val="00263A56"/>
    <w:rsid w:val="00277B58"/>
    <w:rsid w:val="00277C9A"/>
    <w:rsid w:val="002B6912"/>
    <w:rsid w:val="002C7081"/>
    <w:rsid w:val="002D296E"/>
    <w:rsid w:val="003D4AFB"/>
    <w:rsid w:val="003F1206"/>
    <w:rsid w:val="003F5BF1"/>
    <w:rsid w:val="0040224A"/>
    <w:rsid w:val="004031A8"/>
    <w:rsid w:val="00426486"/>
    <w:rsid w:val="00442565"/>
    <w:rsid w:val="00482BE6"/>
    <w:rsid w:val="004954BD"/>
    <w:rsid w:val="004C58DB"/>
    <w:rsid w:val="004F4088"/>
    <w:rsid w:val="00503D84"/>
    <w:rsid w:val="005105F5"/>
    <w:rsid w:val="00524782"/>
    <w:rsid w:val="005367EB"/>
    <w:rsid w:val="00577C70"/>
    <w:rsid w:val="00593ECD"/>
    <w:rsid w:val="00594EC5"/>
    <w:rsid w:val="00597336"/>
    <w:rsid w:val="005B0812"/>
    <w:rsid w:val="005B095B"/>
    <w:rsid w:val="005D4B01"/>
    <w:rsid w:val="006037CA"/>
    <w:rsid w:val="00610AAA"/>
    <w:rsid w:val="00667A90"/>
    <w:rsid w:val="006764C1"/>
    <w:rsid w:val="00696F6F"/>
    <w:rsid w:val="006A5952"/>
    <w:rsid w:val="0072622D"/>
    <w:rsid w:val="0074093A"/>
    <w:rsid w:val="00765080"/>
    <w:rsid w:val="00776285"/>
    <w:rsid w:val="00780CA4"/>
    <w:rsid w:val="00793F61"/>
    <w:rsid w:val="007D36CD"/>
    <w:rsid w:val="007E640E"/>
    <w:rsid w:val="008007AE"/>
    <w:rsid w:val="00815CAC"/>
    <w:rsid w:val="0082352D"/>
    <w:rsid w:val="00832136"/>
    <w:rsid w:val="0086703A"/>
    <w:rsid w:val="00873A74"/>
    <w:rsid w:val="00875009"/>
    <w:rsid w:val="008B4FA0"/>
    <w:rsid w:val="008F071C"/>
    <w:rsid w:val="009226EF"/>
    <w:rsid w:val="009357DF"/>
    <w:rsid w:val="009876D4"/>
    <w:rsid w:val="00994342"/>
    <w:rsid w:val="009D73FA"/>
    <w:rsid w:val="009E202F"/>
    <w:rsid w:val="009E381E"/>
    <w:rsid w:val="009F5F0D"/>
    <w:rsid w:val="00A00160"/>
    <w:rsid w:val="00A01C1F"/>
    <w:rsid w:val="00A117E7"/>
    <w:rsid w:val="00A2145B"/>
    <w:rsid w:val="00AA6BBD"/>
    <w:rsid w:val="00AC3455"/>
    <w:rsid w:val="00AC79C9"/>
    <w:rsid w:val="00AF586B"/>
    <w:rsid w:val="00B17CCC"/>
    <w:rsid w:val="00B46857"/>
    <w:rsid w:val="00B54065"/>
    <w:rsid w:val="00B93971"/>
    <w:rsid w:val="00BA20D1"/>
    <w:rsid w:val="00BD6A02"/>
    <w:rsid w:val="00BE5976"/>
    <w:rsid w:val="00C22E9D"/>
    <w:rsid w:val="00C362DE"/>
    <w:rsid w:val="00C7645D"/>
    <w:rsid w:val="00CA2943"/>
    <w:rsid w:val="00CA7093"/>
    <w:rsid w:val="00CC186C"/>
    <w:rsid w:val="00CF3385"/>
    <w:rsid w:val="00CF4D94"/>
    <w:rsid w:val="00D643B2"/>
    <w:rsid w:val="00D90FA7"/>
    <w:rsid w:val="00DA6D6E"/>
    <w:rsid w:val="00DC2FF3"/>
    <w:rsid w:val="00DF6784"/>
    <w:rsid w:val="00E06B3C"/>
    <w:rsid w:val="00E10857"/>
    <w:rsid w:val="00E20B4D"/>
    <w:rsid w:val="00E21BF7"/>
    <w:rsid w:val="00E3317C"/>
    <w:rsid w:val="00E36204"/>
    <w:rsid w:val="00E46F74"/>
    <w:rsid w:val="00EA3477"/>
    <w:rsid w:val="00EB65D8"/>
    <w:rsid w:val="00ED5CA9"/>
    <w:rsid w:val="00F228ED"/>
    <w:rsid w:val="00F323EB"/>
    <w:rsid w:val="00F5367E"/>
    <w:rsid w:val="00F70880"/>
    <w:rsid w:val="00F7222A"/>
    <w:rsid w:val="00FC3686"/>
    <w:rsid w:val="00FC5A03"/>
    <w:rsid w:val="00FF25BB"/>
    <w:rsid w:val="00FF3CCF"/>
  </w:rsids>
  <m:mathPr>
    <m:mathFont m:val="Cambria Math"/>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8B5599"/>
  <w15:docId w15:val="{2ED967D3-E5E8-4D44-8B5D-729941C03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857"/>
    <w:rPr>
      <w:lang w:val="eu-ES" w:eastAsia="es-ES"/>
    </w:rPr>
  </w:style>
  <w:style w:type="paragraph" w:styleId="Ttulo1">
    <w:name w:val="heading 1"/>
    <w:basedOn w:val="Normal"/>
    <w:next w:val="Normal"/>
    <w:qFormat/>
    <w:rsid w:val="00B46857"/>
    <w:pPr>
      <w:keepNext/>
      <w:jc w:val="right"/>
      <w:outlineLvl w:val="0"/>
    </w:pPr>
    <w:rPr>
      <w:rFonts w:ascii="Courier New" w:hAnsi="Courier New"/>
      <w:b/>
      <w:i/>
      <w:sz w:val="22"/>
    </w:rPr>
  </w:style>
  <w:style w:type="paragraph" w:styleId="Ttulo2">
    <w:name w:val="heading 2"/>
    <w:basedOn w:val="Normal"/>
    <w:next w:val="Normal"/>
    <w:link w:val="Ttulo2Car"/>
    <w:semiHidden/>
    <w:unhideWhenUsed/>
    <w:qFormat/>
    <w:rsid w:val="000A2D4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367EB"/>
    <w:rPr>
      <w:rFonts w:ascii="Tahoma" w:hAnsi="Tahoma" w:cs="Tahoma"/>
      <w:sz w:val="16"/>
      <w:szCs w:val="16"/>
    </w:rPr>
  </w:style>
  <w:style w:type="paragraph" w:styleId="Encabezado">
    <w:name w:val="header"/>
    <w:basedOn w:val="Normal"/>
    <w:rsid w:val="00F34884"/>
    <w:pPr>
      <w:tabs>
        <w:tab w:val="center" w:pos="4252"/>
        <w:tab w:val="right" w:pos="8504"/>
      </w:tabs>
    </w:pPr>
  </w:style>
  <w:style w:type="paragraph" w:styleId="Piedepgina">
    <w:name w:val="footer"/>
    <w:basedOn w:val="Normal"/>
    <w:rsid w:val="00F34884"/>
    <w:pPr>
      <w:tabs>
        <w:tab w:val="center" w:pos="4252"/>
        <w:tab w:val="right" w:pos="8504"/>
      </w:tabs>
    </w:pPr>
  </w:style>
  <w:style w:type="paragraph" w:styleId="Mapadeldocumento">
    <w:name w:val="Document Map"/>
    <w:basedOn w:val="Normal"/>
    <w:link w:val="MapadeldocumentoCar"/>
    <w:rsid w:val="001421C6"/>
    <w:rPr>
      <w:rFonts w:ascii="Lucida Grande" w:hAnsi="Lucida Grande"/>
    </w:rPr>
  </w:style>
  <w:style w:type="character" w:customStyle="1" w:styleId="MapadeldocumentoCar">
    <w:name w:val="Mapa del documento Car"/>
    <w:basedOn w:val="Fuentedeprrafopredeter"/>
    <w:link w:val="Mapadeldocumento"/>
    <w:rsid w:val="001421C6"/>
    <w:rPr>
      <w:rFonts w:ascii="Lucida Grande" w:hAnsi="Lucida Grande"/>
      <w:sz w:val="24"/>
      <w:szCs w:val="24"/>
      <w:lang w:val="eu-ES" w:eastAsia="es-ES"/>
    </w:rPr>
  </w:style>
  <w:style w:type="table" w:styleId="Tablaconcuadrcula">
    <w:name w:val="Table Grid"/>
    <w:basedOn w:val="Tablanormal"/>
    <w:rsid w:val="00B46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A2145B"/>
  </w:style>
  <w:style w:type="paragraph" w:styleId="Prrafodelista">
    <w:name w:val="List Paragraph"/>
    <w:basedOn w:val="Normal"/>
    <w:uiPriority w:val="34"/>
    <w:qFormat/>
    <w:rsid w:val="00FF25BB"/>
    <w:pPr>
      <w:ind w:left="720"/>
      <w:contextualSpacing/>
    </w:pPr>
  </w:style>
  <w:style w:type="character" w:customStyle="1" w:styleId="Ttulo2Car">
    <w:name w:val="Título 2 Car"/>
    <w:basedOn w:val="Fuentedeprrafopredeter"/>
    <w:link w:val="Ttulo2"/>
    <w:semiHidden/>
    <w:rsid w:val="000A2D4E"/>
    <w:rPr>
      <w:rFonts w:asciiTheme="majorHAnsi" w:eastAsiaTheme="majorEastAsia" w:hAnsiTheme="majorHAnsi" w:cstheme="majorBidi"/>
      <w:color w:val="365F91" w:themeColor="accent1" w:themeShade="BF"/>
      <w:sz w:val="26"/>
      <w:szCs w:val="26"/>
      <w:lang w:val="eu-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2167">
      <w:bodyDiv w:val="1"/>
      <w:marLeft w:val="0"/>
      <w:marRight w:val="0"/>
      <w:marTop w:val="0"/>
      <w:marBottom w:val="0"/>
      <w:divBdr>
        <w:top w:val="none" w:sz="0" w:space="0" w:color="auto"/>
        <w:left w:val="none" w:sz="0" w:space="0" w:color="auto"/>
        <w:bottom w:val="none" w:sz="0" w:space="0" w:color="auto"/>
        <w:right w:val="none" w:sz="0" w:space="0" w:color="auto"/>
      </w:divBdr>
    </w:div>
    <w:div w:id="1283416633">
      <w:bodyDiv w:val="1"/>
      <w:marLeft w:val="0"/>
      <w:marRight w:val="0"/>
      <w:marTop w:val="0"/>
      <w:marBottom w:val="0"/>
      <w:divBdr>
        <w:top w:val="none" w:sz="0" w:space="0" w:color="auto"/>
        <w:left w:val="none" w:sz="0" w:space="0" w:color="auto"/>
        <w:bottom w:val="none" w:sz="0" w:space="0" w:color="auto"/>
        <w:right w:val="none" w:sz="0" w:space="0" w:color="auto"/>
      </w:divBdr>
    </w:div>
    <w:div w:id="1402873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2</Pages>
  <Words>509</Words>
  <Characters>2805</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Aranaz, Carlota</cp:lastModifiedBy>
  <cp:revision>35</cp:revision>
  <cp:lastPrinted>2021-11-19T09:23:00Z</cp:lastPrinted>
  <dcterms:created xsi:type="dcterms:W3CDTF">2021-11-16T12:58:00Z</dcterms:created>
  <dcterms:modified xsi:type="dcterms:W3CDTF">2021-12-17T12:35:00Z</dcterms:modified>
</cp:coreProperties>
</file>