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programa “Girando por Navarra/Bira Nafarroan Barna”,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Con respecto al programa “Girando por Navarra/Bira Nafarroan Barna” este parlamentario desea conocer:</w:t>
      </w:r>
    </w:p>
    <w:p>
      <w:pPr>
        <w:pStyle w:val="0"/>
        <w:suppressAutoHyphens w:val="false"/>
        <w:rPr>
          <w:rStyle w:val="1"/>
        </w:rPr>
      </w:pPr>
      <w:r>
        <w:rPr>
          <w:rStyle w:val="1"/>
        </w:rPr>
        <w:t xml:space="preserve">1. ¿Cuál es el motivo por el que se exige a los municipios la obligatoriedad de desarrollar las actividades en interiores?</w:t>
      </w:r>
    </w:p>
    <w:p>
      <w:pPr>
        <w:pStyle w:val="0"/>
        <w:suppressAutoHyphens w:val="false"/>
        <w:rPr>
          <w:rStyle w:val="1"/>
        </w:rPr>
      </w:pPr>
      <w:r>
        <w:rPr>
          <w:rStyle w:val="1"/>
        </w:rPr>
        <w:t xml:space="preserve">2. ¿Ha tenido constancia el departamento de quejas y expresiones de desacuerdo por parte de municipios y técnicos de cultura?</w:t>
      </w:r>
    </w:p>
    <w:p>
      <w:pPr>
        <w:pStyle w:val="0"/>
        <w:suppressAutoHyphens w:val="false"/>
        <w:rPr>
          <w:rStyle w:val="1"/>
        </w:rPr>
      </w:pPr>
      <w:r>
        <w:rPr>
          <w:rStyle w:val="1"/>
        </w:rPr>
        <w:t xml:space="preserve">3. ¿Tiene previsto el departamento flexibilizar o modificar dicha exigencia?</w:t>
      </w:r>
    </w:p>
    <w:p>
      <w:pPr>
        <w:pStyle w:val="0"/>
        <w:suppressAutoHyphens w:val="false"/>
        <w:rPr>
          <w:rStyle w:val="1"/>
        </w:rPr>
      </w:pPr>
      <w:r>
        <w:rPr>
          <w:rStyle w:val="1"/>
        </w:rPr>
        <w:t xml:space="preserve">En Iruñea, a 14 de febrero de 2022</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