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otsailaren 21ean egindako bilkuran, erabaki hau hartu zuen, besteak beste:</w:t>
      </w:r>
    </w:p>
    <w:p>
      <w:pPr>
        <w:pStyle w:val="0"/>
        <w:suppressAutoHyphens w:val="false"/>
        <w:rPr>
          <w:rStyle w:val="1"/>
        </w:rPr>
      </w:pPr>
      <w:r>
        <w:rPr>
          <w:rStyle w:val="1"/>
        </w:rPr>
        <w:t xml:space="preserve">Nafarroako Foru Eraentza Berrezarri eta Hobetzeari buruzko Lege Organikoaren 19.1.b) artikuluak aitortzen dion legegintzarako ekimena erabiliz, Adolfo Araiz Flamarique jaunak foru lege proposamen bat aurkeztu du, Fundazioen eta babes jardueren tributu araubidea erregulatzen duen uztailaren 2ko 10/1996 Foru Legea aldatzen duena, eta eskatu du irakurketa bakarreko prozeduraz izapidetu dadin. (10-22/PRO-00004)</w:t>
      </w:r>
    </w:p>
    <w:p>
      <w:pPr>
        <w:pStyle w:val="0"/>
        <w:suppressAutoHyphens w:val="false"/>
        <w:rPr>
          <w:rStyle w:val="1"/>
        </w:rPr>
      </w:pPr>
      <w:r>
        <w:rPr>
          <w:rStyle w:val="1"/>
        </w:rPr>
        <w:t xml:space="preserve">Hori horrela, Legebiltzarreko Erregelamenduko 148. eta 158. artikuluetan ezarritakoarekin bat, Eledunen Batzarrarekin adostu ondoren, hona ERABAKIA:</w:t>
      </w:r>
    </w:p>
    <w:p>
      <w:pPr>
        <w:pStyle w:val="0"/>
        <w:suppressAutoHyphens w:val="false"/>
        <w:rPr>
          <w:rStyle w:val="1"/>
        </w:rPr>
      </w:pPr>
      <w:r>
        <w:rPr>
          <w:rStyle w:val="1"/>
          <w:b w:val="true"/>
        </w:rPr>
        <w:t xml:space="preserve">1.</w:t>
      </w:r>
      <w:r>
        <w:rPr>
          <w:rStyle w:val="1"/>
        </w:rPr>
        <w:t xml:space="preserve"> Agintzea Fundazioen eta babes jardueren tributu araubidea erregulatzen duen uztailaren 2ko 10/1996 Foru Legea aldatzen duen Foru Lege proposamena Nafarroako Parlamentuko Aldizkari Ofizialean argitaratu dadin.</w:t>
      </w:r>
    </w:p>
    <w:p>
      <w:pPr>
        <w:pStyle w:val="0"/>
        <w:suppressAutoHyphens w:val="false"/>
        <w:rPr>
          <w:rStyle w:val="1"/>
        </w:rPr>
      </w:pPr>
      <w:r>
        <w:rPr>
          <w:rStyle w:val="1"/>
          <w:b w:val="true"/>
        </w:rPr>
        <w:t xml:space="preserve">2.</w:t>
      </w:r>
      <w:r>
        <w:rPr>
          <w:rStyle w:val="1"/>
        </w:rPr>
        <w:t xml:space="preserve"> Foru lege proposamen hori Nafarroako Gobernuari igortzea, Erregelamenduko 148. artikuluan ezarritako ondorioetarako.</w:t>
      </w:r>
    </w:p>
    <w:p>
      <w:pPr>
        <w:pStyle w:val="0"/>
        <w:suppressAutoHyphens w:val="false"/>
        <w:rPr>
          <w:rStyle w:val="1"/>
        </w:rPr>
      </w:pPr>
      <w:r>
        <w:rPr>
          <w:rStyle w:val="1"/>
          <w:b w:val="true"/>
        </w:rPr>
        <w:t xml:space="preserve">3. </w:t>
      </w:r>
      <w:r>
        <w:rPr>
          <w:rStyle w:val="1"/>
        </w:rPr>
        <w:t xml:space="preserve">Foru lege proposamen hori irakurketa bakarreko prozeduraz izapidetzea.</w:t>
      </w:r>
    </w:p>
    <w:p>
      <w:pPr>
        <w:pStyle w:val="0"/>
        <w:suppressAutoHyphens w:val="false"/>
        <w:rPr>
          <w:rStyle w:val="1"/>
        </w:rPr>
      </w:pPr>
      <w:r>
        <w:rPr>
          <w:rStyle w:val="1"/>
          <w:b w:val="true"/>
        </w:rPr>
        <w:t xml:space="preserve">4.</w:t>
      </w:r>
      <w:r>
        <w:rPr>
          <w:rStyle w:val="1"/>
        </w:rPr>
        <w:t xml:space="preserve"> Zuzenketak aurkezteko epe bat irekitzea, eztabaidari ekiteko Osoko Bilkuraren egunaren aurrekoaren eguerdiko hamabietan bukatuko dena. Zuzenketak Legebiltzarreko Mahaiari aurkeztu beharko zaizkio.</w:t>
      </w:r>
    </w:p>
    <w:p>
      <w:pPr>
        <w:pStyle w:val="0"/>
        <w:suppressAutoHyphens w:val="false"/>
        <w:rPr>
          <w:rStyle w:val="1"/>
        </w:rPr>
      </w:pPr>
      <w:r>
        <w:rPr>
          <w:rStyle w:val="1"/>
        </w:rPr>
        <w:t xml:space="preserve">Iruñean, 2022ko otsailaren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 proposamena, Fundazioen eta babes jardueren tributu araubidea erregulatzen duen uztailaren 2ko 10/1996 Foru Legea aldatzen duena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Nafarroan mezenasgoaren araubide fiskala Fundazioen eta babes jardueren tributu araubidea erregulatzen duen uztailaren 2ko 10/1996 Foru Legean dago jasota, eta lege horrek, irabazi-asmorik gabeko entitateen araubide fiskal propioa erregulatzeaz gain, pizgarri fiskalen sorta bat ezartzen du zenbait proiektu sozialetarako. Ez dago mezenasgo jarduerari aplikatzeko berariazko araudirik, ordea, partikularrek mezenasgoan jarduten dutenean ahalegin pribatuak interes orokorreko jardueretara bideratzen laguntzeko, ingurumenaren babesa xede duten irabazi-asmorik gabeko entitateek finantzaketa iturri pribatuetatik baliabideak lor ditzaten sustatze aldera. </w:t>
      </w:r>
    </w:p>
    <w:p>
      <w:pPr>
        <w:pStyle w:val="0"/>
        <w:suppressAutoHyphens w:val="false"/>
        <w:rPr>
          <w:rStyle w:val="1"/>
        </w:rPr>
      </w:pPr>
      <w:r>
        <w:rPr>
          <w:rStyle w:val="1"/>
        </w:rPr>
        <w:t xml:space="preserve">Konpromiso sozialeko proiektuei aplikatzekoak zaizkien pizgarri fiskalak arautzen dituen maiatzaren 29ko 18/2013 Foru Legeak hamargarren xedapen gehigarria erantsi zion Fundazioen eta babes jardueren tributu araubidea erregulatzen duen uztailaren 2ko 10/1996 Foru Legeari. Xedapen gehigarri horren testu indarduna Zenbait zerga aldatu eta beste tributu-neurri batzuk hartzeari buruzko abenduaren 23ko 29/2019 Foru Legeak onetsi zuen.</w:t>
      </w:r>
    </w:p>
    <w:p>
      <w:pPr>
        <w:pStyle w:val="0"/>
        <w:suppressAutoHyphens w:val="false"/>
        <w:rPr>
          <w:rStyle w:val="1"/>
        </w:rPr>
      </w:pPr>
      <w:r>
        <w:rPr>
          <w:rStyle w:val="1"/>
        </w:rPr>
        <w:t xml:space="preserve">Horregatik guztiagatik, beharrezkotzat jotzen da mezenasgoaren araubidea erreformatzea, kasu honetan hura ingurumen mezenasgora zabaltzeko, sektore horretako irabazi-asmorik gabeko entitateei behar duten indarra ematen laguntze aldera, garapen ekonomikorako eta kohesio sozialerako ardatz nagusietakoa baita sektore hori, eta behar adinako protagonismoa emateko gizarte zibilari. Entitate horien egitekoa funtsezkoa da, gizarte ekintza bezalako arloetan ez ezik, baita ingurumenekoetan ere, batez ere klima aldaketaren eta energia-trantsizioaren testuinguruan. Pizgarri fiskalak ingurumen mezenasgora zabaltze hori, ordea, ez da ulertu behar baliabide publikoak murriztuko dituen elementu gisa. Izan ere, pizgarri gehiago jartzea eta ondorioz ingurumena babestu eta defendatzeko jardueretan gizarteak ekarpen handiagoa egitea onuragarria izanen da inondik ere BPGari eta enpleguari begira, eta baliabide fiskal berriak sorraraziko ditu.</w:t>
      </w:r>
    </w:p>
    <w:p>
      <w:pPr>
        <w:pStyle w:val="0"/>
        <w:suppressAutoHyphens w:val="false"/>
        <w:rPr>
          <w:rStyle w:val="1"/>
        </w:rPr>
      </w:pPr>
      <w:r>
        <w:rPr>
          <w:rStyle w:val="1"/>
        </w:rPr>
        <w:t xml:space="preserve">Ildo horretan, foru lege proposamen honetan hamahirugarren xedapen gehigarri berria erantsi nahi zaio Fundazioen eta babes jardueren tributu araubidea erregulatzen duen uztailaren 2ko 10/1996 Foru Legeari. Horrela ingurumen mezenasgoaren arloko araubidea ezarriko da, foru lege beraren hirugarren xedapen gehigarrian jada mezenasgo sozialerako jaso denaren antzekoa.</w:t>
      </w:r>
    </w:p>
    <w:p>
      <w:pPr>
        <w:pStyle w:val="0"/>
        <w:suppressAutoHyphens w:val="false"/>
        <w:rPr>
          <w:rStyle w:val="1"/>
        </w:rPr>
      </w:pPr>
      <w:r>
        <w:rPr>
          <w:rStyle w:val="1"/>
          <w:b w:val="true"/>
        </w:rPr>
        <w:t xml:space="preserve">Artikulu bakarra. </w:t>
      </w:r>
      <w:r>
        <w:rPr>
          <w:rStyle w:val="1"/>
        </w:rPr>
        <w:t xml:space="preserve">Hamahirugarren xedapen gehigarria eranstea Fundazioen eta babes jardueren tributu araubidea erregulatzen duen uztailaren 2ko 10/1996 Foru Legeari.</w:t>
      </w:r>
    </w:p>
    <w:p>
      <w:pPr>
        <w:pStyle w:val="0"/>
        <w:suppressAutoHyphens w:val="false"/>
        <w:rPr>
          <w:rStyle w:val="1"/>
        </w:rPr>
      </w:pPr>
      <w:r>
        <w:rPr>
          <w:rStyle w:val="1"/>
        </w:rPr>
        <w:t xml:space="preserve">Fundazioen eta babes jardueren tributu araubidea erregulatzen duen uztailaren 2ko 10/1996 Foru Legeari xedapen gehigarri bat gehitzen zaio, testu hau izanen duena:</w:t>
      </w:r>
    </w:p>
    <w:p>
      <w:pPr>
        <w:pStyle w:val="0"/>
        <w:suppressAutoHyphens w:val="false"/>
        <w:rPr>
          <w:rStyle w:val="1"/>
        </w:rPr>
      </w:pPr>
      <w:r>
        <w:rPr>
          <w:rStyle w:val="1"/>
        </w:rPr>
        <w:t xml:space="preserve">«Hamahirugarren xedapen gehigarria. Ingurumen mezenasgorako pizgarri fiskalak.</w:t>
      </w:r>
    </w:p>
    <w:p>
      <w:pPr>
        <w:pStyle w:val="0"/>
        <w:suppressAutoHyphens w:val="false"/>
        <w:rPr>
          <w:rStyle w:val="1"/>
        </w:rPr>
      </w:pPr>
      <w:r>
        <w:rPr>
          <w:rStyle w:val="1"/>
        </w:rPr>
        <w:t xml:space="preserve">1. Dohaintzak jasotzen dituzten erakunde onuradunek xedapen gehigarri honetan aurreikusitako araubidearen aintzatespena jaso badute ingurumen arloan eskuduna den departamentuarengandik, dohaintza horiek xedapen gehigarri honetan ezarritako zerga-onurak izanen dituzte.</w:t>
      </w:r>
    </w:p>
    <w:p>
      <w:pPr>
        <w:pStyle w:val="0"/>
        <w:suppressAutoHyphens w:val="false"/>
        <w:rPr>
          <w:rStyle w:val="1"/>
        </w:rPr>
      </w:pPr>
      <w:r>
        <w:rPr>
          <w:rStyle w:val="1"/>
        </w:rPr>
        <w:t xml:space="preserve">2. Horri dagokionez, entitate onuraduntzat joko dira honako baldintza hauek betetzen dituztenak:</w:t>
      </w:r>
    </w:p>
    <w:p>
      <w:pPr>
        <w:pStyle w:val="0"/>
        <w:suppressAutoHyphens w:val="false"/>
        <w:rPr>
          <w:rStyle w:val="1"/>
        </w:rPr>
      </w:pPr>
      <w:r>
        <w:rPr>
          <w:rStyle w:val="1"/>
        </w:rPr>
        <w:t xml:space="preserve">a) Irabazi-asmorik gabeko entitateak izatea. Halakotzat joko dira, betiere, arloan eskuduna den ministerioaren gobernuz kanpoko erakundeen erregistroan inskribaturik dauden ingurumen arloko fundazio, elkarte eta gobernuz kanpoko erakundeak, Nafarroako Kooperatiben Erregistroan inskribaturik dauden energiarekin lotutako kontsumo kooperatibak eta aurreko guztien federazioak eta elkarteak.</w:t>
      </w:r>
    </w:p>
    <w:p>
      <w:pPr>
        <w:pStyle w:val="0"/>
        <w:suppressAutoHyphens w:val="false"/>
        <w:rPr>
          <w:rStyle w:val="1"/>
        </w:rPr>
      </w:pPr>
      <w:r>
        <w:rPr>
          <w:rStyle w:val="1"/>
        </w:rPr>
        <w:t xml:space="preserve">b) Beren xedeen artean jasota edukitzea naturaren kontserbazioa eta ingurumenaren babesa edo/eta ingurumen hezkuntza, ingurumen arloko boluntariotza, klima aldaketaren aurkako borroka eta energia-trantsizioa, eta, horregatik, inskribatuta egotea Nafarroako Foru Komunitateko Elkarteen, Fundazioen eta Lanbide Elkargoen Erregistroan.</w:t>
      </w:r>
    </w:p>
    <w:p>
      <w:pPr>
        <w:pStyle w:val="0"/>
        <w:suppressAutoHyphens w:val="false"/>
        <w:rPr>
          <w:rStyle w:val="1"/>
        </w:rPr>
      </w:pPr>
      <w:r>
        <w:rPr>
          <w:rStyle w:val="1"/>
        </w:rPr>
        <w:t xml:space="preserve">c) Nafarroan jardun izana b) letran aipatutako arloetakoren batean, 3. apartatuan aipatzen den eskaeraren aurreko azken 4 urteetan. Beti uste izanen da entitate batek Nafarroan azken lau urteetan jardun duela baldin eta ekitaldi horietan guztietan Nafarroako administrazio publikoetatik dirulaguntzaren bat jaso badu.</w:t>
      </w:r>
    </w:p>
    <w:p>
      <w:pPr>
        <w:pStyle w:val="0"/>
        <w:suppressAutoHyphens w:val="false"/>
        <w:rPr>
          <w:rStyle w:val="1"/>
        </w:rPr>
      </w:pPr>
      <w:r>
        <w:rPr>
          <w:rStyle w:val="1"/>
        </w:rPr>
        <w:t xml:space="preserve">d) Gutxienez errenta eta diru-sarreren ehuneko 70 (horiek lortzeko gastuak kendu ondoren) interes orokorreko helburuetara bideratzea eta gainerakoa ondare-zuzkidura edo erreserbak handitzera bideratzea, eskuratu eta gehienez 4 urteko epean.</w:t>
      </w:r>
    </w:p>
    <w:p>
      <w:pPr>
        <w:pStyle w:val="0"/>
        <w:suppressAutoHyphens w:val="false"/>
        <w:rPr>
          <w:rStyle w:val="1"/>
        </w:rPr>
      </w:pPr>
      <w:r>
        <w:rPr>
          <w:rStyle w:val="1"/>
        </w:rPr>
        <w:t xml:space="preserve">e) Dirulaguntza publikoak hartzen dituzten entitateei ezarritako gardentasun betebeharrak betetzea.</w:t>
      </w:r>
    </w:p>
    <w:p>
      <w:pPr>
        <w:pStyle w:val="0"/>
        <w:suppressAutoHyphens w:val="false"/>
        <w:rPr>
          <w:rStyle w:val="1"/>
        </w:rPr>
      </w:pPr>
      <w:r>
        <w:rPr>
          <w:rStyle w:val="1"/>
        </w:rPr>
        <w:t xml:space="preserve">3. Entitate interesdunek xedapen gehigarri honetan aurreikusitako araubidea aplikatzeko eskatu beharko diote ingurumen arloan eskudun den departamentuari, departamentu horretako titularrek onetsiko duten ereduari jarraituz. Eskaerarekin batera, kasua bada, 2. apartatuan azaldutako baldintzak betetzen direla frogatzeko agiriak aurkeztuko dituzte.</w:t>
      </w:r>
    </w:p>
    <w:p>
      <w:pPr>
        <w:pStyle w:val="0"/>
        <w:suppressAutoHyphens w:val="false"/>
        <w:rPr>
          <w:rStyle w:val="1"/>
        </w:rPr>
      </w:pPr>
      <w:r>
        <w:rPr>
          <w:rStyle w:val="1"/>
        </w:rPr>
        <w:t xml:space="preserve">Ez da baldintza horiek betetzen direla frogatzeko agiririk aurkeztu beharko haietako edozein betetzen dela ondorioztatzen bada administrazio publiko baten menpeko erregistro bateko inskripziotik, Nafarroako administrazio publikoek emandako dirulaguntzetatik edo lehenagoko prozedura edo izapideren batean administrazio publiko bati aurkeztutako dokumentaziotik; horrelakoetan nahikoa izanen da zer prozedura edo erregistro den adieraztea.</w:t>
      </w:r>
    </w:p>
    <w:p>
      <w:pPr>
        <w:pStyle w:val="0"/>
        <w:suppressAutoHyphens w:val="false"/>
        <w:rPr>
          <w:rStyle w:val="1"/>
        </w:rPr>
      </w:pPr>
      <w:r>
        <w:rPr>
          <w:rStyle w:val="1"/>
        </w:rPr>
        <w:t xml:space="preserve">4. Xedapen gehigarri honetan ezarritako araubidea lortu eta gero, dohaintzen onuradun diren entitateek ingurumen arloan eskudun den departamentuari eskatu beharko diote, hurrengo ekitaldiko lehen zortzi hilabeteetan, araubide horri eusteko, departamentu horretako titularrak onetsiko duen eskaera ereduari jarraituz. Gainera, epe horretan entitateen ordezkariek erantzukizunpeko adierazpena aurkeztu beharko dute, entitateak 2. apartatuan ezarritako baldintzak betetzen jarraitzen duela dioena, eta entitatearen kontuak erantsi beharko dituzte, salbu eta jada aurkeztu bazaizkio zergen arloan eskumena duen departamentuari, zerga araudia betez.</w:t>
      </w:r>
    </w:p>
    <w:p>
      <w:pPr>
        <w:pStyle w:val="0"/>
        <w:suppressAutoHyphens w:val="false"/>
        <w:rPr>
          <w:rStyle w:val="1"/>
        </w:rPr>
      </w:pPr>
      <w:r>
        <w:rPr>
          <w:rStyle w:val="1"/>
        </w:rPr>
        <w:t xml:space="preserve">Ingurumen arloan eskumena duen departamentuari dagokio egiaztatzea ezarritako betekizunak betetzen direla, entitate eskatzaileek zer esparrutan diharduten kontuan hartuta.</w:t>
      </w:r>
    </w:p>
    <w:p>
      <w:pPr>
        <w:pStyle w:val="0"/>
        <w:suppressAutoHyphens w:val="false"/>
        <w:rPr>
          <w:rStyle w:val="1"/>
        </w:rPr>
      </w:pPr>
      <w:r>
        <w:rPr>
          <w:rStyle w:val="1"/>
        </w:rPr>
        <w:t xml:space="preserve">5. Ingurumen arloan eskumena duen departamentuaren barnean, eskudun den zuzendaritza nagusiko titularrak ebatziko ditu 3. eta 4. apartatuetan aipatutako eskaerak.</w:t>
      </w:r>
    </w:p>
    <w:p>
      <w:pPr>
        <w:pStyle w:val="0"/>
        <w:suppressAutoHyphens w:val="false"/>
        <w:rPr>
          <w:rStyle w:val="1"/>
        </w:rPr>
      </w:pPr>
      <w:r>
        <w:rPr>
          <w:rStyle w:val="1"/>
        </w:rPr>
        <w:t xml:space="preserve">Pertsona horiexei dagokie xedapen gehigarri honetan ezarritako araubidea erreboka dadila ebaztea, baldintzaren bat betetzen ez dela egiaztatuz gero.</w:t>
      </w:r>
    </w:p>
    <w:p>
      <w:pPr>
        <w:pStyle w:val="0"/>
        <w:suppressAutoHyphens w:val="false"/>
        <w:rPr>
          <w:rStyle w:val="1"/>
        </w:rPr>
      </w:pPr>
      <w:r>
        <w:rPr>
          <w:rStyle w:val="1"/>
        </w:rPr>
        <w:t xml:space="preserve">Ebazpen hori hiru hilabeteko epean eman eta jakinarazi beharko da. Gehieneko epea igarotzen bada eskaera aurkeztu duten entitate interesdunei berariazko ebazpen legitimorik jakinarazi gabe, eskaera Administrazioaren isiltasunaren bidez baietsitzat joko da. </w:t>
      </w:r>
    </w:p>
    <w:p>
      <w:pPr>
        <w:pStyle w:val="0"/>
        <w:suppressAutoHyphens w:val="false"/>
        <w:rPr>
          <w:rStyle w:val="1"/>
        </w:rPr>
      </w:pPr>
      <w:r>
        <w:rPr>
          <w:rStyle w:val="1"/>
        </w:rPr>
        <w:t xml:space="preserve">Hiru hilabeteko epea izanen da, gehienez, araubidea onartu duen ebazpenaren errebokaziorako prozedura ebazteko eta ebazpen hori jakinarazteko. Gehieneko epea igarotzen bada berariazko ebazpenik jakinarazi gabe, prozedura iraungi eginen da.</w:t>
      </w:r>
    </w:p>
    <w:p>
      <w:pPr>
        <w:pStyle w:val="0"/>
        <w:suppressAutoHyphens w:val="false"/>
        <w:rPr>
          <w:rStyle w:val="1"/>
        </w:rPr>
      </w:pPr>
      <w:r>
        <w:rPr>
          <w:rStyle w:val="1"/>
        </w:rPr>
        <w:t xml:space="preserve">6. Pertsona fisikoen errentaren gaineko zergaren subjektu pasiboek dohaintzak egiten dizkietenean entitate onuradunei, zergaren kuotatik kendu ahalko dute “inter vivos” dohaintza ezeztaezin, huts eta soilen bidez emandako diru kopuruen lehen 150 euroen ehuneko 80, bai eta 2. apartatuan aipatutako entitateekin egindako lankidetza hitzarmenen itzalpean haiek finantzatzeko edo haien jarduerak finantzatzeko ordaindutako diru kopuruen ehuneko bera ere. 150 euro baino gehiagoko zenbatekoei ehuneko 35eko kenkaria aplikatzen ahalko zaie. Subjektu pasibo bakoitzeko eta zergaldi bakoitzeko aplikatuko da 150 euroko muga.</w:t>
      </w:r>
    </w:p>
    <w:p>
      <w:pPr>
        <w:pStyle w:val="0"/>
        <w:suppressAutoHyphens w:val="false"/>
        <w:rPr>
          <w:rStyle w:val="1"/>
        </w:rPr>
      </w:pPr>
      <w:r>
        <w:rPr>
          <w:rStyle w:val="1"/>
        </w:rPr>
        <w:t xml:space="preserve">Doako zerbitzu-prestazioen kasuan, kenkariaren oinarria izanen da egindako gastuen kostua, irabazi-marjina kontuan hartu gabe.</w:t>
      </w:r>
    </w:p>
    <w:p>
      <w:pPr>
        <w:pStyle w:val="0"/>
        <w:suppressAutoHyphens w:val="false"/>
        <w:rPr>
          <w:rStyle w:val="1"/>
        </w:rPr>
      </w:pPr>
      <w:r>
        <w:rPr>
          <w:rStyle w:val="1"/>
        </w:rPr>
        <w:t xml:space="preserve">Kenkariaren oinarria konputatu eginen da Pertsona Fisikoen Errentaren gaineko Zergari buruzko Foru Legearen testu bateginaren 64.1 artikuluan aipatzen den mugaren ondorioetarako.</w:t>
      </w:r>
    </w:p>
    <w:p>
      <w:pPr>
        <w:pStyle w:val="0"/>
        <w:suppressAutoHyphens w:val="false"/>
        <w:rPr>
          <w:rStyle w:val="1"/>
        </w:rPr>
      </w:pPr>
      <w:r>
        <w:rPr>
          <w:rStyle w:val="1"/>
        </w:rPr>
        <w:t xml:space="preserve">7. Sozietateen gaineko zergaren subjektu pasiboek, entitate onuradunei dohaintzak egin edo diru kopuruak ordaintzen dizkietenean aurreko apartatuan ezarritako baldintza eta helburuekin, zerga onura hauek izanen dituzte:</w:t>
      </w:r>
    </w:p>
    <w:p>
      <w:pPr>
        <w:pStyle w:val="0"/>
        <w:suppressAutoHyphens w:val="false"/>
        <w:rPr>
          <w:rStyle w:val="1"/>
        </w:rPr>
      </w:pPr>
      <w:r>
        <w:rPr>
          <w:rStyle w:val="1"/>
        </w:rPr>
        <w:t xml:space="preserve">a) Dohaintzan emandako zenbatekoak partida kengarritzat joko dituzte zerga oinarriaren kalkuluan.</w:t>
      </w:r>
    </w:p>
    <w:p>
      <w:pPr>
        <w:pStyle w:val="0"/>
        <w:suppressAutoHyphens w:val="false"/>
        <w:rPr>
          <w:rStyle w:val="1"/>
        </w:rPr>
      </w:pPr>
      <w:r>
        <w:rPr>
          <w:rStyle w:val="1"/>
        </w:rPr>
        <w:t xml:space="preserve">b) Gainera, dohaintzan emandako zenbatekoen ehuneko 20ko kenkaria aplikatu ahalko dute zergaren kuota likidoan.</w:t>
      </w:r>
    </w:p>
    <w:p>
      <w:pPr>
        <w:pStyle w:val="0"/>
        <w:suppressAutoHyphens w:val="false"/>
        <w:rPr>
          <w:rStyle w:val="1"/>
        </w:rPr>
      </w:pPr>
      <w:r>
        <w:rPr>
          <w:rStyle w:val="1"/>
        </w:rPr>
        <w:t xml:space="preserve">Zerga oinarrian aplikatutako kenkariaren zenbatekoak ezin izanen du gainditu honako hauetatik handiena:</w:t>
      </w:r>
    </w:p>
    <w:p>
      <w:pPr>
        <w:pStyle w:val="0"/>
        <w:suppressAutoHyphens w:val="false"/>
        <w:rPr>
          <w:rStyle w:val="1"/>
        </w:rPr>
      </w:pPr>
      <w:r>
        <w:rPr>
          <w:rStyle w:val="1"/>
        </w:rPr>
        <w:t xml:space="preserve">– Kenkari hori aplikatu aurretik eta, halakorik bada, foru lege honen 37., 42. eta 47. artikuluetako kenkariak aplikatu aurretik zerga oinarriak izan duen zenbatekoaren ehuneko 30.</w:t>
      </w:r>
    </w:p>
    <w:p>
      <w:pPr>
        <w:pStyle w:val="0"/>
        <w:suppressAutoHyphens w:val="false"/>
        <w:rPr>
          <w:rStyle w:val="1"/>
        </w:rPr>
      </w:pPr>
      <w:r>
        <w:rPr>
          <w:rStyle w:val="1"/>
        </w:rPr>
        <w:t xml:space="preserve">– Negozio zifraren zenbateko garbiaren milako 3.</w:t>
      </w:r>
    </w:p>
    <w:p>
      <w:pPr>
        <w:pStyle w:val="0"/>
        <w:suppressAutoHyphens w:val="false"/>
        <w:rPr>
          <w:rStyle w:val="1"/>
        </w:rPr>
      </w:pPr>
      <w:r>
        <w:rPr>
          <w:rStyle w:val="1"/>
        </w:rPr>
        <w:t xml:space="preserve">Bestalde, kuotaren murriztapena sozietateen gaineko zergaren araudian ezarritakoarekin bat aplikatuko da eta Sozietateen gaineko Zergari buruzko 26/2016 Foru Legearen 67.4 artikuluan ezarritako mugaren ondorioetarako zenbatuko da.</w:t>
      </w:r>
    </w:p>
    <w:p>
      <w:pPr>
        <w:pStyle w:val="0"/>
        <w:suppressAutoHyphens w:val="false"/>
        <w:rPr>
          <w:rStyle w:val="1"/>
        </w:rPr>
      </w:pPr>
      <w:r>
        <w:rPr>
          <w:rStyle w:val="1"/>
        </w:rPr>
        <w:t xml:space="preserve">8. Xedapen gehigarri honetan ezarritako zerga onurak bateraezinak izanen dira Fundazioen eta babes jardueren tributu araubidea erregulatzen duen uztailaren 2ko 10/1996 Foru Legean ezarritako gainerako zerga onurekin, alegia, ezin izanen dira zenbateko beretarako aplikatu.</w:t>
      </w:r>
    </w:p>
    <w:p>
      <w:pPr>
        <w:pStyle w:val="0"/>
        <w:suppressAutoHyphens w:val="false"/>
        <w:rPr>
          <w:rStyle w:val="1"/>
        </w:rPr>
      </w:pPr>
      <w:r>
        <w:rPr>
          <w:rStyle w:val="1"/>
        </w:rPr>
        <w:t xml:space="preserve">9. Zerga onurak aplikatu ahal izateko, entitate onuradunek baldintza hauek bete beharko dituzte:</w:t>
      </w:r>
    </w:p>
    <w:p>
      <w:pPr>
        <w:pStyle w:val="0"/>
        <w:suppressAutoHyphens w:val="false"/>
        <w:rPr>
          <w:rStyle w:val="1"/>
        </w:rPr>
      </w:pPr>
      <w:r>
        <w:rPr>
          <w:rStyle w:val="1"/>
        </w:rPr>
        <w:t xml:space="preserve">a) Ziurtagirien bidez frogatzea lankidetza-hitzarmenen itzalpean ordaindutako diru kopuruak edo egindako dohaintzak egiazkoak direla eta babesera bildutako entitateak edo, hala denean, jarduerak finantzatzea dutela helburu.</w:t>
      </w:r>
    </w:p>
    <w:p>
      <w:pPr>
        <w:pStyle w:val="0"/>
        <w:suppressAutoHyphens w:val="false"/>
        <w:rPr>
          <w:rStyle w:val="1"/>
        </w:rPr>
      </w:pPr>
      <w:r>
        <w:rPr>
          <w:rStyle w:val="1"/>
        </w:rPr>
        <w:t xml:space="preserve">b) Emandako ziurtagirien edukia Zerga Administrazioari jakinaraztea, zerga araudian ezarritako ereduetan eta epeetan.</w:t>
      </w:r>
    </w:p>
    <w:p>
      <w:pPr>
        <w:pStyle w:val="0"/>
        <w:suppressAutoHyphens w:val="false"/>
        <w:rPr>
          <w:rStyle w:val="1"/>
        </w:rPr>
      </w:pPr>
      <w:r>
        <w:rPr>
          <w:rStyle w:val="1"/>
        </w:rPr>
        <w:t xml:space="preserve">10. Nafarroako Aurrekontu Orokorrei buruzko Legeak artikulu honen 2.b) apartatuan aipatutako helburuei begira lehenesten diren mezenasgo jardueren zerrenda ezarri ahalko du, bai eta entitate onuradunen zerrenda ere. Jarduera eta entitate horiei dagokienez, Nafarroako Aurrekontu Orokorrei buruzko Legeak bost ehuneko-puntu igo ahalko ditu, gehienez, artikulu honetako 6. eta 7.b) apartatuetan ezarritako kenkarien ehunekoak eta mugak.</w:t>
      </w:r>
    </w:p>
    <w:p>
      <w:pPr>
        <w:pStyle w:val="0"/>
        <w:suppressAutoHyphens w:val="false"/>
        <w:rPr>
          <w:rStyle w:val="1"/>
        </w:rPr>
      </w:pPr>
      <w:r>
        <w:rPr>
          <w:rStyle w:val="1"/>
        </w:rPr>
        <w:t xml:space="preserve">11. Urte bakoitza amaitu baino lehen, ingurumen arloan eskumena duen departamentuak xedapen gehigarri honetan ezarritako baldintzak betetzen dituzten entitate onuradunen zerrenda bidaliko dio Zerga Administrazioari.</w:t>
      </w:r>
    </w:p>
    <w:p>
      <w:pPr>
        <w:pStyle w:val="0"/>
        <w:suppressAutoHyphens w:val="false"/>
        <w:rPr>
          <w:rStyle w:val="1"/>
        </w:rPr>
      </w:pPr>
      <w:r>
        <w:rPr>
          <w:rStyle w:val="1"/>
          <w:b w:val="true"/>
        </w:rPr>
        <w:t xml:space="preserve">Azken xedapena. </w:t>
      </w:r>
      <w:r>
        <w:rPr>
          <w:rStyle w:val="1"/>
        </w:rPr>
        <w:t xml:space="preserve">Indarra hartzea.</w:t>
      </w:r>
    </w:p>
    <w:p>
      <w:pPr>
        <w:pStyle w:val="0"/>
        <w:suppressAutoHyphens w:val="false"/>
        <w:rPr>
          <w:rStyle w:val="1"/>
        </w:rPr>
      </w:pPr>
      <w:r>
        <w:rPr>
          <w:rStyle w:val="1"/>
        </w:rPr>
        <w:t xml:space="preserve">Foru lege honek Nafarroako Aldizkari Ofizialean argitaratu eta biharamunean hartuko du indarra, baina 2022ko urtarrilaren 1etik aurrera hasten diren zergaldietarako sortuko ditu ondorioak.</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