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Nafarroan energia-komunitateak garatzeari buruz Mikel Asiain Torres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martxoaren 10eko Osoko Bilkuran ahoz erantzun dezan:</w:t>
      </w:r>
    </w:p>
    <w:p>
      <w:pPr>
        <w:pStyle w:val="0"/>
        <w:suppressAutoHyphens w:val="false"/>
        <w:rPr>
          <w:rStyle w:val="1"/>
        </w:rPr>
      </w:pPr>
      <w:r>
        <w:rPr>
          <w:rStyle w:val="1"/>
        </w:rPr>
        <w:t xml:space="preserve">Duela egun batzuk, Garapen Ekonomiko eta Enpresarialeko kontseilariak Nafarroan energia-komunitateak arautzeko foru agindu baterako proiektu bat aurkeztu zuen, eta iragarri zuen Nafarroako Gobernuaren gardentasun atarian argitaratuko zela, jendaurreko informazio gisa, Europako araudian ezarritakoari Nafarroan behin betiko bultzada emateko ideiak jasotzeko parte-hartze prozesu bati ekiteko xedez.</w:t>
      </w:r>
    </w:p>
    <w:p>
      <w:pPr>
        <w:pStyle w:val="0"/>
        <w:suppressAutoHyphens w:val="false"/>
        <w:rPr>
          <w:rStyle w:val="1"/>
        </w:rPr>
      </w:pPr>
      <w:r>
        <w:rPr>
          <w:rStyle w:val="1"/>
        </w:rPr>
        <w:t xml:space="preserve">Irujo kontseilariak azaldu zuenez, energia-komunitateen garapenaren zenbait alderdi Estatuaren eskumenekoak badira ere, Nafarroako Gobernuaren ustez posible zen bereak diren eskumenak ukitzen dituzten alderdiak arautzeko ekimena baliatzea, alde batetik segurtasun juridikoari eusteko eta, bestetik eta aldi berean, dagoen lege-hutsunea betetzeko.</w:t>
      </w:r>
    </w:p>
    <w:p>
      <w:pPr>
        <w:pStyle w:val="0"/>
        <w:suppressAutoHyphens w:val="false"/>
        <w:rPr>
          <w:rStyle w:val="1"/>
        </w:rPr>
      </w:pPr>
      <w:r>
        <w:rPr>
          <w:rStyle w:val="1"/>
        </w:rPr>
        <w:t xml:space="preserve">Energia-komunitateak ezinbesteko zeregina izatekoak dira energia-horniduraren deskarbonizazioranzko paradigma-aldaketan; hori dela eta, horiek garatzeko legeria premiazkoa eta lehentasunezkoa da.</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Zein izanen da aipatu foru aginduaren zeregina Nafarroako energia-komunitateen garapenean?</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