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DAD6" w14:textId="65CB35EE" w:rsidR="00C6200B" w:rsidRDefault="00C6200B">
      <w:pPr>
        <w:rPr>
          <w:rFonts w:ascii="Arial" w:hAnsi="Arial" w:cs="Arial"/>
        </w:rPr>
      </w:pPr>
      <w:r>
        <w:rPr>
          <w:rFonts w:ascii="Arial" w:hAnsi="Arial"/>
        </w:rPr>
        <w:t xml:space="preserve">Urtarrilaren 12a</w:t>
      </w:r>
    </w:p>
    <w:p w14:paraId="6A9308ED" w14:textId="3FE0D483" w:rsidR="00FB11E2" w:rsidRPr="00C6200B" w:rsidRDefault="00A711C6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Guillén andreak idatziz erantzuteko galdera aurkeztu du (10-21-PES-00389), zeinaren bidez honako informazio hau eskatzen baitu:</w:t>
      </w:r>
      <w:r>
        <w:rPr>
          <w:rFonts w:ascii="Arial" w:hAnsi="Arial"/>
        </w:rPr>
        <w:t xml:space="preserve"> </w:t>
      </w:r>
    </w:p>
    <w:p w14:paraId="25CA4FFB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“1.- Zenbat pertsona daude Nafarroan honako diagnostiko hauekin?</w:t>
      </w:r>
    </w:p>
    <w:p w14:paraId="5D6B0887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a. Diabetesa</w:t>
      </w:r>
    </w:p>
    <w:p w14:paraId="6E3313A8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b. Kardiopatia iskemikoa</w:t>
      </w:r>
    </w:p>
    <w:p w14:paraId="38861476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c. Bihotz-gutxiegitasuna</w:t>
      </w:r>
    </w:p>
    <w:p w14:paraId="0ACBB33C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d. Biriketako gaixotasun buxatzaile kronikoa</w:t>
      </w:r>
    </w:p>
    <w:p w14:paraId="43A7B966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e. Asma</w:t>
      </w:r>
    </w:p>
    <w:p w14:paraId="1480452A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Garuneko eta odol-hodietako gaixotasuna</w:t>
      </w:r>
    </w:p>
    <w:p w14:paraId="17EA1E33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g. Zirrosi hepatikoa</w:t>
      </w:r>
    </w:p>
    <w:p w14:paraId="0B953803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h. Giltzurruneko gutxiegitasun kronikoa</w:t>
      </w:r>
    </w:p>
    <w:p w14:paraId="76928861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Dementzia</w:t>
      </w:r>
    </w:p>
    <w:p w14:paraId="6E86E167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Neuroendekapenezko gaixotasunak</w:t>
      </w:r>
    </w:p>
    <w:p w14:paraId="47822979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Gaixotasun arraroak</w:t>
      </w:r>
    </w:p>
    <w:p w14:paraId="677DE6F0" w14:textId="77777777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Obesitate morbidoa</w:t>
      </w:r>
    </w:p>
    <w:p w14:paraId="26E958C3" w14:textId="77777777" w:rsid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m. Tratamendu aktiboko minbizia</w:t>
      </w:r>
    </w:p>
    <w:p w14:paraId="19D7B037" w14:textId="2EC717D0" w:rsidR="00D66340" w:rsidRPr="00C6200B" w:rsidRDefault="00D66340" w:rsidP="00D66340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2.- Lehendabiziko puntuko talde horietako bakoitzean, zenbat dira, guztira, COVID-19aren kasu egiaztatuak, COVID-19a dela-eta ZIUn ospitaleratutakoak eta COVID-19ak hildakoak pandemia hasi zenetik?”. Hona Nafarroako Gobernuko Osasuneko kontseilariak horretaz ematen dion informazioa:</w:t>
      </w:r>
    </w:p>
    <w:p w14:paraId="2F0817E6" w14:textId="77777777" w:rsidR="00C6200B" w:rsidRDefault="00D66340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</w:p>
    <w:p w14:paraId="1533068E" w14:textId="77777777" w:rsidR="00C6200B" w:rsidRDefault="0023443F" w:rsidP="00A711C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drawing>
          <wp:inline distT="0" distB="0" distL="0" distR="0" wp14:anchorId="0AE21CA9" wp14:editId="1F723499">
            <wp:extent cx="5400040" cy="1884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F3991" w14:textId="77777777" w:rsidR="00C6200B" w:rsidRDefault="00582B36" w:rsidP="00582B3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Bildutako informazio estatistikoan nabarmentzekoa da litekeela dela paziente bat talde batean baino gehiagotan sailkatuta egotea patologia bat baino gehiago izateagatik, eta hori gainerako ataletako kopuruetan ere islatuko litzateke.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Bestalde, gaur egun eskuragarri dagoen informazioarekin ezinezkoa da heriotzen kopuruak ematea, zaila delako bereiztea, xehetasun mailarengatik, </w:t>
      </w:r>
      <w:r>
        <w:rPr>
          <w:i/>
          <w:rFonts w:ascii="Arial" w:hAnsi="Arial"/>
        </w:rPr>
        <w:t xml:space="preserve">COVIDarekin</w:t>
      </w:r>
      <w:r>
        <w:rPr>
          <w:rFonts w:ascii="Arial" w:hAnsi="Arial"/>
        </w:rPr>
        <w:t xml:space="preserve"> eta </w:t>
      </w:r>
      <w:r>
        <w:rPr>
          <w:i/>
          <w:rFonts w:ascii="Arial" w:hAnsi="Arial"/>
        </w:rPr>
        <w:t xml:space="preserve">COVIDarengatik</w:t>
      </w:r>
      <w:r>
        <w:rPr>
          <w:rFonts w:ascii="Arial" w:hAnsi="Arial"/>
        </w:rPr>
        <w:t xml:space="preserve"> kategorien artean, alegia, noiz izan den birus hori heriotzaren zuzeneko eragilea.</w:t>
      </w:r>
      <w:r>
        <w:rPr>
          <w:rFonts w:ascii="Arial" w:hAnsi="Arial"/>
        </w:rPr>
        <w:t xml:space="preserve"> </w:t>
      </w:r>
    </w:p>
    <w:p w14:paraId="07AFD745" w14:textId="618F3D4A" w:rsidR="00C6200B" w:rsidRDefault="00A711C6" w:rsidP="00A711C6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 betez.</w:t>
      </w:r>
    </w:p>
    <w:p w14:paraId="21C4374D" w14:textId="77777777" w:rsidR="00C6200B" w:rsidRDefault="00A711C6" w:rsidP="00A711C6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2022ko urtarrilaren 10ean</w:t>
      </w:r>
    </w:p>
    <w:p w14:paraId="28BA1FA9" w14:textId="0BB51071" w:rsidR="00C6200B" w:rsidRPr="00C6200B" w:rsidRDefault="00C6200B" w:rsidP="00C6200B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Induráin Orduna</w:t>
      </w:r>
    </w:p>
    <w:p w14:paraId="40189A3E" w14:textId="61C048EA" w:rsidR="00A711C6" w:rsidRPr="00C6200B" w:rsidRDefault="00A711C6">
      <w:pPr>
        <w:rPr>
          <w:rFonts w:ascii="Arial" w:hAnsi="Arial" w:cs="Arial"/>
          <w:lang w:val="es-ES_tradnl"/>
        </w:rPr>
      </w:pPr>
    </w:p>
    <w:sectPr w:rsidR="00A711C6" w:rsidRPr="00C6200B" w:rsidSect="00C6200B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F9B"/>
    <w:multiLevelType w:val="hybridMultilevel"/>
    <w:tmpl w:val="362817C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184DE1"/>
    <w:rsid w:val="0019140C"/>
    <w:rsid w:val="0023443F"/>
    <w:rsid w:val="003C04EF"/>
    <w:rsid w:val="00582B36"/>
    <w:rsid w:val="006272E4"/>
    <w:rsid w:val="00A711C6"/>
    <w:rsid w:val="00C6200B"/>
    <w:rsid w:val="00CF6AE9"/>
    <w:rsid w:val="00D66340"/>
    <w:rsid w:val="00E70823"/>
    <w:rsid w:val="00EA60E0"/>
    <w:rsid w:val="00F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A474"/>
  <w15:docId w15:val="{7F99BBB3-C1E2-451C-869F-1F18CAF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1E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6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Aranaz, Carlota</cp:lastModifiedBy>
  <cp:revision>3</cp:revision>
  <cp:lastPrinted>2022-01-12T07:40:00Z</cp:lastPrinted>
  <dcterms:created xsi:type="dcterms:W3CDTF">2022-01-12T07:42:00Z</dcterms:created>
  <dcterms:modified xsi:type="dcterms:W3CDTF">2022-01-13T10:36:00Z</dcterms:modified>
</cp:coreProperties>
</file>