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Isabel Olave Ballarena andreak egindako galderaren erantzuna, Foru Diputazioak emana, Euroeskualdearen txandakako lehendakaritzari buruzkoa. Galdera 2021eko urriaren 28ko 10.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18an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Isabel Olave Ballerena andreak idatziz erantzuteko galdera egin du (10-22/PES-00021). Hori dela eta, Herritarrekiko Harremanetako kontseilariak informazio hau ematen dio:</w:t>
      </w:r>
    </w:p>
    <w:p>
      <w:pPr>
        <w:pStyle w:val="0"/>
        <w:spacing w:after="113.386" w:before="0" w:line="226" w:lineRule="exact"/>
        <w:suppressAutoHyphens w:val="false"/>
        <w:rPr>
          <w:rStyle w:val="1"/>
        </w:rPr>
      </w:pPr>
      <w:r>
        <w:rPr>
          <w:rStyle w:val="1"/>
        </w:rPr>
        <w:t xml:space="preserve">Nafarroak Euroeskualdeko lehendakaritza bete izan du eta beteko du Euroeskualdean indarra duen araudiari jarraituz. Langileei dagokienez, zehazki, Frantziako funtzio publikoaren kodeari jarraituz. Esteka honen bidez eskuratzen ahal duzu:</w:t>
      </w:r>
    </w:p>
    <w:p>
      <w:pPr>
        <w:pStyle w:val="0"/>
        <w:spacing w:after="113.386" w:before="0" w:line="226" w:lineRule="exact"/>
        <w:suppressAutoHyphens w:val="false"/>
        <w:rPr>
          <w:rStyle w:val="1"/>
        </w:rPr>
      </w:pPr>
      <w:r>
        <w:rPr>
          <w:rStyle w:val="1"/>
        </w:rPr>
        <w:t xml:space="preserve">https://www.legifrance.gouv.fr/codes/texte_lc/LEGITEXT000044416551/2022-03-01/</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ezarritakoa betez.</w:t>
      </w:r>
    </w:p>
    <w:p>
      <w:pPr>
        <w:pStyle w:val="0"/>
        <w:spacing w:after="113.386" w:before="0" w:line="226" w:lineRule="exact"/>
        <w:suppressAutoHyphens w:val="false"/>
        <w:rPr>
          <w:rStyle w:val="1"/>
        </w:rPr>
      </w:pPr>
      <w:r>
        <w:rPr>
          <w:rStyle w:val="1"/>
        </w:rPr>
        <w:t xml:space="preserve">Iruñean, 2022ko otsailaren 18an</w:t>
      </w:r>
    </w:p>
    <w:p>
      <w:pPr>
        <w:pStyle w:val="0"/>
        <w:spacing w:after="113.386" w:before="0" w:line="226" w:lineRule="exact"/>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