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y al Departamento de Salud a que en todas las oposiciones y concursos-oposición se determine el grado de dificultad de los exámenes a través de la Teoría Clásica de Test (TCT) y/o la Teoría de Respuesta de Ítem (TRI) antes de su utilización y a negociar con la representación del personal la modificación y actualización de las pruebas de acceso a la Administración Foral de Navarra y sus organismos autónomos, aprobada por la Comisión de Salud del Parlamento de Navarra en sesión celebrada el día 29 de marzo de 2022, cuyo texto se inserta a continuación:</w:t>
      </w:r>
    </w:p>
    <w:p>
      <w:pPr>
        <w:pStyle w:val="0"/>
        <w:suppressAutoHyphens w:val="false"/>
        <w:rPr>
          <w:rStyle w:val="1"/>
        </w:rPr>
      </w:pPr>
      <w:r>
        <w:rPr>
          <w:rStyle w:val="1"/>
        </w:rPr>
        <w:t xml:space="preserve">“El Parlamento de Navarra insta al Gobierno de Navarra y al Departamento de Salud:</w:t>
      </w:r>
    </w:p>
    <w:p>
      <w:pPr>
        <w:pStyle w:val="0"/>
        <w:suppressAutoHyphens w:val="false"/>
        <w:rPr>
          <w:rStyle w:val="1"/>
        </w:rPr>
      </w:pPr>
      <w:r>
        <w:rPr>
          <w:rStyle w:val="1"/>
        </w:rPr>
        <w:t xml:space="preserve">1. A que en todas las oposiciones y concursos-oposición se determine el grado de dificultad de los exámenes a través de la Teoría Clásica de Test (TCT) y/o la Teoría de Respuesta de Ítem (TRI) antes de su utilización.</w:t>
      </w:r>
    </w:p>
    <w:p>
      <w:pPr>
        <w:pStyle w:val="0"/>
        <w:suppressAutoHyphens w:val="false"/>
        <w:rPr>
          <w:rStyle w:val="1"/>
        </w:rPr>
      </w:pPr>
      <w:r>
        <w:rPr>
          <w:rStyle w:val="1"/>
        </w:rPr>
        <w:t xml:space="preserve">2. A negociar con la representación del personal la modificación y actualización de las pruebas de acceso a la Administración Foral de Navarra y sus organismos autónomos. Un acceso que transforme o complemente las pruebas memorísticas con otros criterios ligados a las competencias, funciones y habilidades a desarrollar en el puesto de trabajo” (10-22/MOC-00029).</w:t>
      </w:r>
    </w:p>
    <w:p>
      <w:pPr>
        <w:pStyle w:val="0"/>
        <w:suppressAutoHyphens w:val="false"/>
        <w:rPr>
          <w:rStyle w:val="1"/>
        </w:rPr>
      </w:pPr>
      <w:r>
        <w:rPr>
          <w:rStyle w:val="1"/>
        </w:rPr>
        <w:t xml:space="preserve">Pamplona, 30 de marzo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