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31 de marzo de 2022, aprobó la Ley Foral de modificación de la Ley Foral 10/1996, de 2 de julio, reguladora del régimen tributario de las fundaciones y de las actividades de patrocinio y de la Ley Foral 8/2014, de 16 de mayo, reguladora del mecenazgo cultural y de sus incentivos fiscales en la Comunidad Foral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31 de marzo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de la </w:t>
        <w:br w:type="textWrapping"/>
        <w:t xml:space="preserve">Ley Foral 10/1996, de 2 de julio, </w:t>
        <w:br w:type="textWrapping"/>
        <w:t xml:space="preserve">reguladora del régimen tributario de las fundaciones y de las actividades </w:t>
        <w:br w:type="textWrapping"/>
        <w:t xml:space="preserve">de patrocinio y de la Ley Foral 8/2014, de 16 de mayo, reguladora </w:t>
        <w:br w:type="textWrapping"/>
        <w:t xml:space="preserve">del mecenazgo cultural y de sus </w:t>
        <w:br w:type="textWrapping"/>
        <w:t xml:space="preserve">incentivos fiscales en la Comunidad Foral de Navarra</w:t>
      </w:r>
    </w:p>
    <w:p>
      <w:pPr>
        <w:pStyle w:val="0"/>
        <w:jc w:val="center"/>
        <w:ind w:firstLine="20"/>
        <w:suppressAutoHyphens w:val="false"/>
        <w:rPr>
          <w:rStyle w:val="1"/>
        </w:rPr>
      </w:pPr>
      <w:r>
        <w:rPr>
          <w:rStyle w:val="1"/>
        </w:rPr>
        <w:t xml:space="preserve">PREÁMBULO</w:t>
      </w:r>
    </w:p>
    <w:p>
      <w:pPr>
        <w:pStyle w:val="0"/>
        <w:suppressAutoHyphens w:val="false"/>
        <w:rPr>
          <w:rStyle w:val="1"/>
        </w:rPr>
      </w:pPr>
      <w:r>
        <w:rPr>
          <w:rStyle w:val="1"/>
        </w:rPr>
        <w:t xml:space="preserve">El régimen fiscal del mecenazgo en Navarra se encuentra recogido en la Ley Foral 10/1996, de 2 de julio, reguladora del régimen tributario de las fundaciones y de las actividades de patrocinio, en la que, además de regular el régimen fiscal propio de las entidades sin fines lucrativos, establece también el conjunto de incentivos fiscales para determinados proyectos sociales, si bien se carece de una regulación específica aplicable a la actividad de mecenazgo realizada por particulares con el objetivo de ayudar a encauzar los esfuerzos privados en actividades de interés general que estén destinados a fomentar la obtención de recursos de fuentes de financiación privadas por parte de las entidades sin ánimo de lucro que tengan por objeto la protección del medio ambiente.</w:t>
      </w:r>
    </w:p>
    <w:p>
      <w:pPr>
        <w:pStyle w:val="0"/>
        <w:suppressAutoHyphens w:val="false"/>
        <w:rPr>
          <w:rStyle w:val="1"/>
        </w:rPr>
      </w:pPr>
      <w:r>
        <w:rPr>
          <w:rStyle w:val="1"/>
        </w:rPr>
        <w:t xml:space="preserve">La Ley Foral 18/2013, de 29 de mayo, reguladora de los incentivos fiscales aplicables a los proyectos socialmente comprometidos, introdujo la disposición adicional décima de la Ley Foral 10/1996, de 2 de julio, reguladora del régimen tributario de las fundaciones y de las actividades de patrocinio. La redacción vigente de esa disposición adicional fue aprobada por la Ley Foral 29/2019, de 23 de diciembre, de modificación de diversos impuestos y otras medidas tributarias.</w:t>
      </w:r>
    </w:p>
    <w:p>
      <w:pPr>
        <w:pStyle w:val="0"/>
        <w:suppressAutoHyphens w:val="false"/>
        <w:rPr>
          <w:rStyle w:val="1"/>
        </w:rPr>
      </w:pPr>
      <w:r>
        <w:rPr>
          <w:rStyle w:val="1"/>
        </w:rPr>
        <w:t xml:space="preserve">Por todo ello, se ve necesaria una reforma del régimen del mecenazgo, en este caso para ampliarlo al medioambiental, para contribuir a la necesaria consolidación y al fortalecimiento de las entidades sin ánimo de lucro de este sector, como uno de los ejes clave para el desarrollo económico y la cohesión social, otorgando el necesario protagonismo a la sociedad civil. El papel de estas entidades es esencial no solo en áreas como la acción social, sino también en las medioambientales, especialmente en un contexto de cambio climático y transición energética. No debe, sin embargo, percibirse la ampliación de los incentivos fiscales al mecenazgo medioambiental como un elemento que contribuya a la reducción de los recursos públicos, puesto que el aumento de los incentivos y sus repercusiones en una mayor aportación social a las actividades de protección y defensa del medio ambiente tendrán, con toda seguridad, efectos positivos sobre el PIB y el empleo, generando también nuevos recursos fiscales.</w:t>
      </w:r>
    </w:p>
    <w:p>
      <w:pPr>
        <w:pStyle w:val="0"/>
        <w:suppressAutoHyphens w:val="false"/>
        <w:rPr>
          <w:rStyle w:val="1"/>
        </w:rPr>
      </w:pPr>
      <w:r>
        <w:rPr>
          <w:rStyle w:val="1"/>
          <w:b w:val="true"/>
        </w:rPr>
        <w:t xml:space="preserve">Artículo uno.</w:t>
      </w:r>
      <w:r>
        <w:rPr>
          <w:rStyle w:val="1"/>
        </w:rPr>
        <w:t xml:space="preserve"> Modificación de la Ley Foral 10/1996, de 2 de julio, reguladora del régimen tributario de las fundaciones y de las actividades de patrocinio:</w:t>
      </w:r>
    </w:p>
    <w:p>
      <w:pPr>
        <w:pStyle w:val="0"/>
        <w:suppressAutoHyphens w:val="false"/>
        <w:rPr>
          <w:rStyle w:val="1"/>
        </w:rPr>
      </w:pPr>
      <w:r>
        <w:rPr>
          <w:rStyle w:val="1"/>
          <w:u w:val="single"/>
        </w:rPr>
        <w:t xml:space="preserve">Uno</w:t>
      </w:r>
      <w:r>
        <w:rPr>
          <w:rStyle w:val="1"/>
        </w:rPr>
        <w:t xml:space="preserve">. Modificación de la letra a) del apartado 1 del artículo 39, que queda redactado como sigue:</w:t>
      </w:r>
    </w:p>
    <w:p>
      <w:pPr>
        <w:pStyle w:val="0"/>
        <w:suppressAutoHyphens w:val="false"/>
        <w:rPr>
          <w:rStyle w:val="1"/>
        </w:rPr>
      </w:pPr>
      <w:r>
        <w:rPr>
          <w:rStyle w:val="1"/>
        </w:rPr>
        <w:t xml:space="preserve">“a) El 30 por 100 de la base imponible previa a estas deducciones y, en su caso, a las que se refieren los artículos 42 y 47, las disposiciones adicionales décima y duodécima de esta ley foral, así como el artículo 17 de la Ley Foral 8/2014, de 16 de mayo, reguladora del mecenazgo cultural y de sus incentivos fiscales en la Comunidad Foral de Navarra”. </w:t>
      </w:r>
    </w:p>
    <w:p>
      <w:pPr>
        <w:pStyle w:val="0"/>
        <w:suppressAutoHyphens w:val="false"/>
        <w:rPr>
          <w:rStyle w:val="1"/>
        </w:rPr>
      </w:pPr>
      <w:r>
        <w:rPr>
          <w:rStyle w:val="1"/>
          <w:u w:val="single"/>
        </w:rPr>
        <w:t xml:space="preserve">Dos</w:t>
      </w:r>
      <w:r>
        <w:rPr>
          <w:rStyle w:val="1"/>
        </w:rPr>
        <w:t xml:space="preserve">. Modificación de la letra a) del apartado 2, del artículo 39 que queda redactado como sigue:</w:t>
      </w:r>
    </w:p>
    <w:p>
      <w:pPr>
        <w:pStyle w:val="0"/>
        <w:suppressAutoHyphens w:val="false"/>
        <w:rPr>
          <w:rStyle w:val="1"/>
        </w:rPr>
      </w:pPr>
      <w:r>
        <w:rPr>
          <w:rStyle w:val="1"/>
        </w:rPr>
        <w:t xml:space="preserve">“a) El 10 por 100 de la base imponible previa a estas deducciones y, en su caso, a las que se refieren los artículos 42 y 47, las disposiciones adicionales décima y duodécima de esta Ley Foral, así como el artículo 17 de la Ley Foral 8/2014, de 16 de mayo, reguladora del mecenazgo cultural y de sus incentivos fiscales en la Comunidad Foral de Navarra”.</w:t>
      </w:r>
    </w:p>
    <w:p>
      <w:pPr>
        <w:pStyle w:val="0"/>
        <w:suppressAutoHyphens w:val="false"/>
        <w:rPr>
          <w:rStyle w:val="1"/>
        </w:rPr>
      </w:pPr>
      <w:r>
        <w:rPr>
          <w:rStyle w:val="1"/>
          <w:u w:val="single"/>
        </w:rPr>
        <w:t xml:space="preserve">Tres</w:t>
      </w:r>
      <w:r>
        <w:rPr>
          <w:rStyle w:val="1"/>
        </w:rPr>
        <w:t xml:space="preserve">. Modificación del apartado 4 del artículo 39, que queda redactado como sigue:</w:t>
      </w:r>
    </w:p>
    <w:p>
      <w:pPr>
        <w:pStyle w:val="0"/>
        <w:suppressAutoHyphens w:val="false"/>
        <w:rPr>
          <w:rStyle w:val="1"/>
        </w:rPr>
      </w:pPr>
      <w:r>
        <w:rPr>
          <w:rStyle w:val="1"/>
        </w:rPr>
        <w:t xml:space="preserve">“4. Los límites de deducción contemplados en este artículo serán compatibles con los previstos en los artículos 42 y 47, las disposiciones adicionales décima y duodécima de esta ley foral, así como en el artículo 17 de la Ley Foral 8/2014, de 16 de mayo, reguladora del mecenazgo cultural y de sus incentivos fiscales en la Comunidad Foral de Navarra”. </w:t>
      </w:r>
    </w:p>
    <w:p>
      <w:pPr>
        <w:pStyle w:val="0"/>
        <w:suppressAutoHyphens w:val="false"/>
        <w:rPr>
          <w:rStyle w:val="1"/>
        </w:rPr>
      </w:pPr>
      <w:r>
        <w:rPr>
          <w:rStyle w:val="1"/>
          <w:u w:val="single"/>
        </w:rPr>
        <w:t xml:space="preserve">Cuatro</w:t>
      </w:r>
      <w:r>
        <w:rPr>
          <w:rStyle w:val="1"/>
        </w:rPr>
        <w:t xml:space="preserve">. Modificación de la letra a) del apartado 1 del artículo 42, que queda redactado como sigue:</w:t>
      </w:r>
    </w:p>
    <w:p>
      <w:pPr>
        <w:pStyle w:val="0"/>
        <w:suppressAutoHyphens w:val="false"/>
        <w:rPr>
          <w:rStyle w:val="1"/>
        </w:rPr>
      </w:pPr>
      <w:r>
        <w:rPr>
          <w:rStyle w:val="1"/>
        </w:rPr>
        <w:t xml:space="preserve">“a) El 5 por 100 de la base imponible previa a esta deducción y, en su caso, a las que se refieren los artículos 37 y 47, las disposiciones adicionales décima y duodécima de esta ley foral, así como el artículo 17 de la Ley Foral 8/2014, de 16 de mayo, reguladora del mecenazgo cultural y de sus incentivos fiscales en la Comunidad Foral de Navarra”.</w:t>
      </w:r>
    </w:p>
    <w:p>
      <w:pPr>
        <w:pStyle w:val="0"/>
        <w:suppressAutoHyphens w:val="false"/>
        <w:rPr>
          <w:rStyle w:val="1"/>
        </w:rPr>
      </w:pPr>
      <w:r>
        <w:rPr>
          <w:rStyle w:val="1"/>
          <w:u w:val="single"/>
        </w:rPr>
        <w:t xml:space="preserve">Cinco</w:t>
      </w:r>
      <w:r>
        <w:rPr>
          <w:rStyle w:val="1"/>
        </w:rPr>
        <w:t xml:space="preserve">. Modificación del apartado 3 del artículo 42, que queda redactado como sigue:</w:t>
      </w:r>
    </w:p>
    <w:p>
      <w:pPr>
        <w:pStyle w:val="0"/>
        <w:suppressAutoHyphens w:val="false"/>
        <w:rPr>
          <w:rStyle w:val="1"/>
        </w:rPr>
      </w:pPr>
      <w:r>
        <w:rPr>
          <w:rStyle w:val="1"/>
        </w:rPr>
        <w:t xml:space="preserve">“3. El límite de deducción será compatible con lo previsto en los artículos 37 y 47, las disposiciones adicionales décima y duodécima de esta ley foral, así como en el artículo 17 de la Ley Foral 8/2014, de 16 de mayo, reguladora del mecenazgo cultural y de sus incentivos fiscales en la Comunidad Foral de Navarra”.</w:t>
      </w:r>
    </w:p>
    <w:p>
      <w:pPr>
        <w:pStyle w:val="0"/>
        <w:suppressAutoHyphens w:val="false"/>
        <w:rPr>
          <w:rStyle w:val="1"/>
        </w:rPr>
      </w:pPr>
      <w:r>
        <w:rPr>
          <w:rStyle w:val="1"/>
          <w:u w:val="single"/>
        </w:rPr>
        <w:t xml:space="preserve">Seis</w:t>
      </w:r>
      <w:r>
        <w:rPr>
          <w:rStyle w:val="1"/>
        </w:rPr>
        <w:t xml:space="preserve">. Modificación de la letra a) del apartado 2 del artículo 47, que queda redactado como sigue:</w:t>
      </w:r>
    </w:p>
    <w:p>
      <w:pPr>
        <w:pStyle w:val="0"/>
        <w:suppressAutoHyphens w:val="false"/>
        <w:rPr>
          <w:rStyle w:val="1"/>
        </w:rPr>
      </w:pPr>
      <w:r>
        <w:rPr>
          <w:rStyle w:val="1"/>
        </w:rPr>
        <w:t xml:space="preserve">“a) El 5 por 100 de la base imponible previa a esta deducción y, en su caso, a las que se refieren los artículos 37 y 42, las disposiciones adicionales décima y duodécima de esta Ley Foral, así como el artículo 17 de la ley foral 8/2014, de 16 de mayo, reguladora del mecenazgo cultural y de sus incentivos fiscales en la Comunidad Foral de Navarra”.</w:t>
      </w:r>
    </w:p>
    <w:p>
      <w:pPr>
        <w:pStyle w:val="0"/>
        <w:suppressAutoHyphens w:val="false"/>
        <w:rPr>
          <w:rStyle w:val="1"/>
        </w:rPr>
      </w:pPr>
      <w:r>
        <w:rPr>
          <w:rStyle w:val="1"/>
          <w:u w:val="single"/>
        </w:rPr>
        <w:t xml:space="preserve">Siete</w:t>
      </w:r>
      <w:r>
        <w:rPr>
          <w:rStyle w:val="1"/>
        </w:rPr>
        <w:t xml:space="preserve">. Modificación del apartado 4 del artículo 47, que queda redactado como sigue:</w:t>
      </w:r>
    </w:p>
    <w:p>
      <w:pPr>
        <w:pStyle w:val="0"/>
        <w:suppressAutoHyphens w:val="false"/>
        <w:rPr>
          <w:rStyle w:val="1"/>
        </w:rPr>
      </w:pPr>
      <w:r>
        <w:rPr>
          <w:rStyle w:val="1"/>
        </w:rPr>
        <w:t xml:space="preserve">“4. El límite de deducción será compatible con lo previsto en los artículos 37 y 42, las disposiciones adicionales décima y duodécima de esta ley foral, así como en el artículo 17 de la Ley Foral 8/2014, de 16 de mayo, reguladora del mecenazgo cultural y de sus incentivos fiscales en la Comunidad Foral de Navarra”.</w:t>
      </w:r>
    </w:p>
    <w:p>
      <w:pPr>
        <w:pStyle w:val="0"/>
        <w:suppressAutoHyphens w:val="false"/>
        <w:rPr>
          <w:rStyle w:val="1"/>
        </w:rPr>
      </w:pPr>
      <w:r>
        <w:rPr>
          <w:rStyle w:val="1"/>
          <w:u w:val="single"/>
        </w:rPr>
        <w:t xml:space="preserve">Ocho</w:t>
      </w:r>
      <w:r>
        <w:rPr>
          <w:rStyle w:val="1"/>
        </w:rPr>
        <w:t xml:space="preserve">. Modificación del párrafo tercero de la letra b) del apartado 7 de la disposición adicional décima:</w:t>
      </w:r>
    </w:p>
    <w:p>
      <w:pPr>
        <w:pStyle w:val="0"/>
        <w:suppressAutoHyphens w:val="false"/>
        <w:rPr>
          <w:rStyle w:val="1"/>
        </w:rPr>
      </w:pPr>
      <w:r>
        <w:rPr>
          <w:rStyle w:val="1"/>
        </w:rPr>
        <w:t xml:space="preserve">“–El 30 por 100 de la base imponible previa a esta reducción y, en su caso, a las que se refieren los artículos 37, 42, 47 y la disposición adicional duodécima de esta ley foral, así como el artículo 17 de la Ley Foral 8/2014, de 16 de mayo, reguladora del mecenazgo cultural y de sus incentivos fiscales en la Comunidad Foral de Navarra”.</w:t>
      </w:r>
    </w:p>
    <w:p>
      <w:pPr>
        <w:pStyle w:val="0"/>
        <w:suppressAutoHyphens w:val="false"/>
        <w:rPr>
          <w:rStyle w:val="1"/>
        </w:rPr>
      </w:pPr>
      <w:r>
        <w:rPr>
          <w:rStyle w:val="1"/>
          <w:u w:val="single"/>
        </w:rPr>
        <w:t xml:space="preserve">Nueve</w:t>
      </w:r>
      <w:r>
        <w:rPr>
          <w:rStyle w:val="1"/>
        </w:rPr>
        <w:t xml:space="preserve">. Adición de una disposición adicional duodécima:</w:t>
      </w:r>
    </w:p>
    <w:p>
      <w:pPr>
        <w:pStyle w:val="0"/>
        <w:suppressAutoHyphens w:val="false"/>
        <w:rPr>
          <w:rStyle w:val="1"/>
        </w:rPr>
      </w:pPr>
      <w:r>
        <w:rPr>
          <w:rStyle w:val="1"/>
        </w:rPr>
        <w:t xml:space="preserve">“Disposición adicional duodécima. Incentivos fiscales al mecenazgo medioambiental.</w:t>
      </w:r>
    </w:p>
    <w:p>
      <w:pPr>
        <w:pStyle w:val="0"/>
        <w:suppressAutoHyphens w:val="false"/>
        <w:rPr>
          <w:rStyle w:val="1"/>
        </w:rPr>
      </w:pPr>
      <w:r>
        <w:rPr>
          <w:rStyle w:val="1"/>
        </w:rPr>
        <w:t xml:space="preserve">1. Las donaciones que se efectúen a las entidades beneficiarias que hayan obtenido por parte del departamento competente en materia de medio ambiente el preceptivo reconocimiento del régimen previsto en la presente disposición adicional gozarán de los beneficios fiscales establecidos en ella.</w:t>
      </w:r>
    </w:p>
    <w:p>
      <w:pPr>
        <w:pStyle w:val="0"/>
        <w:suppressAutoHyphens w:val="false"/>
        <w:rPr>
          <w:rStyle w:val="1"/>
        </w:rPr>
      </w:pPr>
      <w:r>
        <w:rPr>
          <w:rStyle w:val="1"/>
        </w:rPr>
        <w:t xml:space="preserve">2. A estos efectos, se considerarán entidades beneficiarias las que cumplan los siguientes requisitos:</w:t>
      </w:r>
    </w:p>
    <w:p>
      <w:pPr>
        <w:pStyle w:val="0"/>
        <w:suppressAutoHyphens w:val="false"/>
        <w:rPr>
          <w:rStyle w:val="1"/>
        </w:rPr>
      </w:pPr>
      <w:r>
        <w:rPr>
          <w:rStyle w:val="1"/>
        </w:rPr>
        <w:t xml:space="preserve">a) Ser entidades sin fines lucrativos. Se considerarán, en todo caso, como tales las fundaciones, las asociaciones declaradas de utilidad pública, las organizaciones no gubernamentales de medio ambiente inscritas en el registro de organizaciones no gubernamentales del ministerio competente en la materia, las cooperativas de consumo relacionadas con la energía inscritas en el Registro de Cooperativas de Navarra, así como las federaciones y asociaciones de todas las entidades anteriores.</w:t>
      </w:r>
    </w:p>
    <w:p>
      <w:pPr>
        <w:pStyle w:val="0"/>
        <w:suppressAutoHyphens w:val="false"/>
        <w:rPr>
          <w:rStyle w:val="1"/>
        </w:rPr>
      </w:pPr>
      <w:r>
        <w:rPr>
          <w:rStyle w:val="1"/>
        </w:rPr>
        <w:t xml:space="preserve">b) Que entre sus fines estén la conservación de la naturaleza y la protección del medio ambiente, la educación ambiental, el voluntariado ambiental, la lucha contra el cambio climático o la transición energética. </w:t>
      </w:r>
    </w:p>
    <w:p>
      <w:pPr>
        <w:pStyle w:val="0"/>
        <w:suppressAutoHyphens w:val="false"/>
        <w:rPr>
          <w:rStyle w:val="1"/>
        </w:rPr>
      </w:pPr>
      <w:r>
        <w:rPr>
          <w:rStyle w:val="1"/>
        </w:rPr>
        <w:t xml:space="preserve">c) Haber realizado actividad en Navarra en los últimos 4 años anteriores a la solicitud a que se refiere el apartado 3, en alguno de los ámbitos mencionados en la letra b). Se considerará en todo caso que han realizado actividad en Navarra en los últimos 4 años las entidades que hayan recibido alguna subvención de las Administraciones públicas de Navarra en todos y cada uno de esos ejercicios.</w:t>
      </w:r>
    </w:p>
    <w:p>
      <w:pPr>
        <w:pStyle w:val="0"/>
        <w:suppressAutoHyphens w:val="false"/>
        <w:rPr>
          <w:rStyle w:val="1"/>
        </w:rPr>
      </w:pPr>
      <w:r>
        <w:rPr>
          <w:rStyle w:val="1"/>
        </w:rPr>
        <w:t xml:space="preserve">d) Destinar al menos el 70 por 100 de las rentas e ingresos percibidos, deducidos los gastos para su obtención, a fines de interés general, y el resto a incrementar la dotación patrimonial o reservas en el plazo máximo de 4 años desde su obtención.</w:t>
      </w:r>
    </w:p>
    <w:p>
      <w:pPr>
        <w:pStyle w:val="0"/>
        <w:suppressAutoHyphens w:val="false"/>
        <w:rPr>
          <w:rStyle w:val="1"/>
        </w:rPr>
      </w:pPr>
      <w:r>
        <w:rPr>
          <w:rStyle w:val="1"/>
        </w:rPr>
        <w:t xml:space="preserve">e) Cumplir las obligaciones de transparencia establecidas para las entidades beneficiarias de subvenciones públicas.</w:t>
      </w:r>
    </w:p>
    <w:p>
      <w:pPr>
        <w:pStyle w:val="0"/>
        <w:suppressAutoHyphens w:val="false"/>
        <w:rPr>
          <w:rStyle w:val="1"/>
        </w:rPr>
      </w:pPr>
      <w:r>
        <w:rPr>
          <w:rStyle w:val="1"/>
        </w:rPr>
        <w:t xml:space="preserve">3. Las entidades interesadas deberán solicitar al Departamento competente en materia de medio ambiente, conforme al modelo que aprobará la persona titular de dicho departamento, el acceso al régimen previsto en esta disposición adicional, acompañando, en su caso, a la solicitud la documentación que acredite el cumplimiento de los requisitos señalados en el apartado 2.</w:t>
      </w:r>
    </w:p>
    <w:p>
      <w:pPr>
        <w:pStyle w:val="0"/>
        <w:suppressAutoHyphens w:val="false"/>
        <w:rPr>
          <w:rStyle w:val="1"/>
        </w:rPr>
      </w:pPr>
      <w:r>
        <w:rPr>
          <w:rStyle w:val="1"/>
        </w:rPr>
        <w:t xml:space="preserve">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trámite, en cuyo caso será suficiente con indicar el procedimiento o Registro correspondiente.</w:t>
      </w:r>
    </w:p>
    <w:p>
      <w:pPr>
        <w:pStyle w:val="0"/>
        <w:suppressAutoHyphens w:val="false"/>
        <w:rPr>
          <w:rStyle w:val="1"/>
        </w:rPr>
      </w:pPr>
      <w:r>
        <w:rPr>
          <w:rStyle w:val="1"/>
        </w:rPr>
        <w:t xml:space="preserve">4. Una vez que hayan accedido al régimen establecido en esta disposición adicional, las entidades beneficiarias de las donaciones deberán solicitar al departamento competente en materia de medio ambiente, en los ocho primeros meses del ejercicio siguiente, el mantenimiento de dicho régimen conforme al modelo que aprobará la persona titular de dicho departamento. Además, en ese plazo las personas que ostenten la representación de dichas entidades presentarán una declaración responsable de que siguen cumpliendo los requisitos establecidos en el apartado 2, acompañada de las cuentas de la entidad, salvo que estas se hayan presentado en el departamento competente en materia tributaria en cumplimiento de la normativa tributaria.</w:t>
      </w:r>
    </w:p>
    <w:p>
      <w:pPr>
        <w:pStyle w:val="0"/>
        <w:suppressAutoHyphens w:val="false"/>
        <w:rPr>
          <w:rStyle w:val="1"/>
        </w:rPr>
      </w:pPr>
      <w:r>
        <w:rPr>
          <w:rStyle w:val="1"/>
        </w:rPr>
        <w:t xml:space="preserve">Al departamento competente en materia de medio ambiente corresponderá comprobar el cumplimiento de los requisitos establecidos.</w:t>
      </w:r>
    </w:p>
    <w:p>
      <w:pPr>
        <w:pStyle w:val="0"/>
        <w:suppressAutoHyphens w:val="false"/>
        <w:rPr>
          <w:rStyle w:val="1"/>
          <w:spacing w:val="-1.919"/>
        </w:rPr>
      </w:pPr>
      <w:r>
        <w:rPr>
          <w:rStyle w:val="1"/>
          <w:spacing w:val="-1.919"/>
        </w:rPr>
        <w:t xml:space="preserve">5. La persona titular de la dirección general competente en materia de medio ambiente resolverá las solicitudes referidas en los apartados 3 y 4.</w:t>
      </w:r>
    </w:p>
    <w:p>
      <w:pPr>
        <w:pStyle w:val="0"/>
        <w:suppressAutoHyphens w:val="false"/>
        <w:rPr>
          <w:rStyle w:val="1"/>
        </w:rPr>
      </w:pPr>
      <w:r>
        <w:rPr>
          <w:rStyle w:val="1"/>
        </w:rPr>
        <w:t xml:space="preserve">A la misma persona corresponderá resolver, en su caso, la revocación del acceso al régimen establecido en esta disposición adicional, cuando se compruebe que no se reúne alguno de los requisitos.</w:t>
      </w:r>
    </w:p>
    <w:p>
      <w:pPr>
        <w:pStyle w:val="0"/>
        <w:suppressAutoHyphens w:val="false"/>
        <w:rPr>
          <w:rStyle w:val="1"/>
          <w:spacing w:val="-1.919"/>
        </w:rPr>
      </w:pPr>
      <w:r>
        <w:rPr>
          <w:rStyle w:val="1"/>
          <w:spacing w:val="-1.919"/>
        </w:rPr>
        <w:t xml:space="preserve">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pPr>
        <w:pStyle w:val="0"/>
        <w:suppressAutoHyphens w:val="false"/>
        <w:rPr>
          <w:rStyle w:val="1"/>
        </w:rPr>
      </w:pPr>
      <w:r>
        <w:rPr>
          <w:rStyle w:val="1"/>
        </w:rPr>
        <w:t xml:space="preserve">El plazo máximo en que debe resolverse y notificarse el procedimiento de revocación de la resolución de acceso es de tres meses. En caso de vencimiento del plazo máximo sin haberse notificado resolución expresa se producirá la caducidad.</w:t>
      </w:r>
    </w:p>
    <w:p>
      <w:pPr>
        <w:pStyle w:val="0"/>
        <w:suppressAutoHyphens w:val="false"/>
        <w:rPr>
          <w:rStyle w:val="1"/>
        </w:rPr>
      </w:pPr>
      <w:r>
        <w:rPr>
          <w:rStyle w:val="1"/>
        </w:rPr>
        <w:t xml:space="preserve">6. Los sujetos pasivos del Impuesto sobre la Renta de las Personas Físicas que realicen donaciones a las entidades beneficiarias tendrán derecho a deducir de la cuota del impuesto el 80 por 100 de los primeros 150 euros de las cantidades donadas en virtud de donaciones “inter vivos” irrevocables, puras y simples, así como de las cantidades satisfechas en virtud de los convenios de colaboración celebrados con las entidades a que se refiere el apartado 2, que se destinen a la financiación de las mismas o, en su caso, a la financiación de las actividades de estas. Los importes superiores a 150 euros tendrán derecho a una deducción del 35 por 100. El límite de 150 euros operará por sujeto pasivo y en cada periodo impositivo.</w:t>
      </w:r>
    </w:p>
    <w:p>
      <w:pPr>
        <w:pStyle w:val="0"/>
        <w:suppressAutoHyphens w:val="false"/>
        <w:rPr>
          <w:rStyle w:val="1"/>
        </w:rPr>
      </w:pPr>
      <w:r>
        <w:rPr>
          <w:rStyle w:val="1"/>
        </w:rPr>
        <w:t xml:space="preserve">En el supuesto de prestaciones de servicios a título gratuito, la base de la deducción será el coste de los gastos incurridos, sin tener en cuenta margen de beneficios.</w:t>
      </w:r>
    </w:p>
    <w:p>
      <w:pPr>
        <w:pStyle w:val="0"/>
        <w:suppressAutoHyphens w:val="false"/>
        <w:rPr>
          <w:rStyle w:val="1"/>
        </w:rPr>
      </w:pPr>
      <w:r>
        <w:rPr>
          <w:rStyle w:val="1"/>
        </w:rPr>
        <w:t xml:space="preserve">La base de la deducción se computará a efectos del límite al que se refiere el artículo 64.1 del Texto Refundido de la Ley Foral del Impuesto sobre la Renta de las Personas Físicas.</w:t>
      </w:r>
    </w:p>
    <w:p>
      <w:pPr>
        <w:pStyle w:val="0"/>
        <w:suppressAutoHyphens w:val="false"/>
        <w:rPr>
          <w:rStyle w:val="1"/>
        </w:rPr>
      </w:pPr>
      <w:r>
        <w:rPr>
          <w:rStyle w:val="1"/>
        </w:rPr>
        <w:t xml:space="preserve">7. Los sujetos pasivos del Impuesto sobre Sociedades que realicen donaciones o satisfagan cantidades a las entidades beneficiarias en los supuestos, con los requisitos y para los fines establecidos en el apartado anterior gozarán de los siguientes beneficios fiscales:</w:t>
      </w:r>
    </w:p>
    <w:p>
      <w:pPr>
        <w:pStyle w:val="0"/>
        <w:suppressAutoHyphens w:val="false"/>
        <w:rPr>
          <w:rStyle w:val="1"/>
        </w:rPr>
      </w:pPr>
      <w:r>
        <w:rPr>
          <w:rStyle w:val="1"/>
        </w:rPr>
        <w:t xml:space="preserve">a) Para la determinación de la base imponible, los importes de las cantidades donadas tendrán la consideración de partida deducible.</w:t>
      </w:r>
    </w:p>
    <w:p>
      <w:pPr>
        <w:pStyle w:val="0"/>
        <w:suppressAutoHyphens w:val="false"/>
        <w:rPr>
          <w:rStyle w:val="1"/>
        </w:rPr>
      </w:pPr>
      <w:r>
        <w:rPr>
          <w:rStyle w:val="1"/>
        </w:rPr>
        <w:t xml:space="preserve">b) Además, tendrán derecho a practicar una deducción de la cuota líquida del Impuesto del 20 por 100 de los importes de las cantidades donadas.</w:t>
      </w:r>
    </w:p>
    <w:p>
      <w:pPr>
        <w:pStyle w:val="0"/>
        <w:suppressAutoHyphens w:val="false"/>
        <w:rPr>
          <w:rStyle w:val="1"/>
        </w:rPr>
      </w:pPr>
      <w:r>
        <w:rPr>
          <w:rStyle w:val="1"/>
        </w:rPr>
        <w:t xml:space="preserve">El importe de la partida deducible en la base imponible no podrá exceder del mayor de los siguientes límites:</w:t>
      </w:r>
    </w:p>
    <w:p>
      <w:pPr>
        <w:pStyle w:val="0"/>
        <w:suppressAutoHyphens w:val="false"/>
        <w:rPr>
          <w:rStyle w:val="1"/>
        </w:rPr>
      </w:pPr>
      <w:r>
        <w:rPr>
          <w:rStyle w:val="1"/>
        </w:rPr>
        <w:t xml:space="preserve">1.º El 30 por 100 de la base imponible previa a esta reducción y, en su caso, a las que se refieren los artículos 37, 42, 47 y la disposición adicional décima de esta ley foral, así como el artículo 17 de la Ley Foral 8/2014, de 16 de mayo, reguladora del mecenazgo cultural y de sus incentivos fiscales en la Comunidad Foral de Navarra.</w:t>
      </w:r>
    </w:p>
    <w:p>
      <w:pPr>
        <w:pStyle w:val="0"/>
        <w:suppressAutoHyphens w:val="false"/>
        <w:rPr>
          <w:rStyle w:val="1"/>
        </w:rPr>
      </w:pPr>
      <w:r>
        <w:rPr>
          <w:rStyle w:val="1"/>
        </w:rPr>
        <w:t xml:space="preserve">2.º El 3 por 1000 del importe neto de la cifra de negocios.</w:t>
      </w:r>
    </w:p>
    <w:p>
      <w:pPr>
        <w:pStyle w:val="0"/>
        <w:suppressAutoHyphens w:val="false"/>
        <w:rPr>
          <w:rStyle w:val="1"/>
        </w:rPr>
      </w:pPr>
      <w:r>
        <w:rPr>
          <w:rStyle w:val="1"/>
        </w:rPr>
        <w:t xml:space="preserve">Por su parte, la deducción de la cuota se practicará con arreglo a lo dispuesto en la normativa del Impuesto sobre Sociedades y computará a efectos del límite establecido en el artículo 67.4 de la Ley Foral 26/2016, del Impuesto sobre Sociedades.</w:t>
      </w:r>
    </w:p>
    <w:p>
      <w:pPr>
        <w:pStyle w:val="0"/>
        <w:suppressAutoHyphens w:val="false"/>
        <w:rPr>
          <w:rStyle w:val="1"/>
        </w:rPr>
      </w:pPr>
      <w:r>
        <w:rPr>
          <w:rStyle w:val="1"/>
        </w:rPr>
        <w:t xml:space="preserve">8. Los beneficios fiscales establecidos en esta disposición adicional serán incompatibles, para los mismos importes, con el resto de los establecidos en esta ley foral. </w:t>
      </w:r>
    </w:p>
    <w:p>
      <w:pPr>
        <w:pStyle w:val="0"/>
        <w:suppressAutoHyphens w:val="false"/>
        <w:rPr>
          <w:rStyle w:val="1"/>
        </w:rPr>
      </w:pPr>
      <w:r>
        <w:rPr>
          <w:rStyle w:val="1"/>
        </w:rPr>
        <w:t xml:space="preserve">9. La aplicación de estos beneficios fiscales estará condicionada a que las entidades beneficiarias cumplan los siguientes requisitos:</w:t>
      </w:r>
    </w:p>
    <w:p>
      <w:pPr>
        <w:pStyle w:val="0"/>
        <w:suppressAutoHyphens w:val="false"/>
        <w:rPr>
          <w:rStyle w:val="1"/>
        </w:rPr>
      </w:pPr>
      <w:r>
        <w:rPr>
          <w:rStyle w:val="1"/>
        </w:rPr>
        <w:t xml:space="preserve">a) Que acrediten, mediante las correspondientes certificaciones, la realidad de las donaciones o de las cantidades satisfechas en virtud de los convenios de colaboración, así como su efectivo destino a la financiación de las entidades o, en su caso, de las actividades acogidas.</w:t>
      </w:r>
    </w:p>
    <w:p>
      <w:pPr>
        <w:pStyle w:val="0"/>
        <w:suppressAutoHyphens w:val="false"/>
        <w:rPr>
          <w:rStyle w:val="1"/>
        </w:rPr>
      </w:pPr>
      <w:r>
        <w:rPr>
          <w:rStyle w:val="1"/>
        </w:rPr>
        <w:t xml:space="preserve">b) Que informen a la Administración tributaria, en los modelos y en los plazos establecidos en la normativa tributaria, del contenido de las certificaciones expedidas.</w:t>
      </w:r>
    </w:p>
    <w:p>
      <w:pPr>
        <w:pStyle w:val="0"/>
        <w:suppressAutoHyphens w:val="false"/>
        <w:rPr>
          <w:rStyle w:val="1"/>
        </w:rPr>
      </w:pPr>
      <w:r>
        <w:rPr>
          <w:rStyle w:val="1"/>
        </w:rPr>
        <w:t xml:space="preserve">10. Antes del final de cada año el departamento competente en materia de medio ambiente remitirá a la Administración tributaria la relación de las entidades beneficiarias que cumplen los requisitos establecidos en esta disposición adicional”.</w:t>
      </w:r>
    </w:p>
    <w:p>
      <w:pPr>
        <w:pStyle w:val="0"/>
        <w:suppressAutoHyphens w:val="false"/>
        <w:rPr>
          <w:rStyle w:val="1"/>
        </w:rPr>
      </w:pPr>
      <w:r>
        <w:rPr>
          <w:rStyle w:val="1"/>
          <w:u w:val="single"/>
        </w:rPr>
        <w:t xml:space="preserve">Diez</w:t>
      </w:r>
      <w:r>
        <w:rPr>
          <w:rStyle w:val="1"/>
        </w:rPr>
        <w:t xml:space="preserve">. Adición de una disposición adicional decimotercera:</w:t>
      </w:r>
    </w:p>
    <w:p>
      <w:pPr>
        <w:pStyle w:val="0"/>
        <w:suppressAutoHyphens w:val="false"/>
        <w:rPr>
          <w:rStyle w:val="1"/>
        </w:rPr>
      </w:pPr>
      <w:r>
        <w:rPr>
          <w:rStyle w:val="1"/>
        </w:rPr>
        <w:t xml:space="preserve">“Disposición adicional decimotercera. Actividades prioritarias de mecenazgo social y de mecenazgo medioambiental.</w:t>
      </w:r>
    </w:p>
    <w:p>
      <w:pPr>
        <w:pStyle w:val="0"/>
        <w:suppressAutoHyphens w:val="false"/>
        <w:rPr>
          <w:rStyle w:val="1"/>
        </w:rPr>
      </w:pPr>
      <w:r>
        <w:rPr>
          <w:rStyle w:val="1"/>
        </w:rPr>
        <w:t xml:space="preserve">Mediante ley foral se podrá establecer el carácter prioritario de determinadas actividades de mecenazgo social o de mecenazgo medioambiental, así como de entidades beneficiarias de los mismos. En relación con dichas actividades y entidades, la ley foral podrá elevar en cinco puntos porcentuales, como máximo, los porcentajes y límites de las deducciones establecidas en las disposiciones adicionales décima y duodécima”.</w:t>
      </w:r>
    </w:p>
    <w:p>
      <w:pPr>
        <w:pStyle w:val="0"/>
        <w:suppressAutoHyphens w:val="false"/>
        <w:rPr>
          <w:rStyle w:val="1"/>
        </w:rPr>
      </w:pPr>
      <w:r>
        <w:rPr>
          <w:rStyle w:val="1"/>
          <w:b w:val="true"/>
        </w:rPr>
        <w:t xml:space="preserve">Artículo dos.</w:t>
      </w:r>
      <w:r>
        <w:rPr>
          <w:rStyle w:val="1"/>
        </w:rPr>
        <w:t xml:space="preserve"> Modificación de la Ley Foral 8/2014, de 16 de mayo, reguladora del mecenazgo cultural y de sus incentivos fiscales en la Comunidad Foral de Navarra.</w:t>
      </w:r>
    </w:p>
    <w:p>
      <w:pPr>
        <w:pStyle w:val="0"/>
        <w:suppressAutoHyphens w:val="false"/>
        <w:rPr>
          <w:rStyle w:val="1"/>
        </w:rPr>
      </w:pPr>
      <w:r>
        <w:rPr>
          <w:rStyle w:val="1"/>
        </w:rPr>
        <w:t xml:space="preserve">El tercer párrafo de la letra b) del artículo 17 quedará redactado del siguiente modo:</w:t>
      </w:r>
    </w:p>
    <w:p>
      <w:pPr>
        <w:pStyle w:val="0"/>
        <w:suppressAutoHyphens w:val="false"/>
        <w:rPr>
          <w:rStyle w:val="1"/>
        </w:rPr>
      </w:pPr>
      <w:r>
        <w:rPr>
          <w:rStyle w:val="1"/>
        </w:rPr>
        <w:t xml:space="preserve">“– El 30 por 100 de la base imponible previa a esta reducción y, en su caso, a las que se refieren los artículos 37, 42, 47, y las disposiciones adicionales décima y duodécima de la Ley Foral 10/1996, de 2 de julio, reguladora del régimen tributario de las fundaciones y de las actividades de patrocinio”.</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si bien surtirá efectos para los periodos impositivos que se inicien a partir del 1 de enero de 2022.</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