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cumplimiento del artículo 29.1 de la Ley Foral de Patrimonio Cultural de Navarra, formulada por el Ilmo. Sr. D. Maiorga Ramírez Erro (10-22/POR-00178).</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presenta la siguiente pregunta al Gobierno de Navarra para su respuesta en el Pleno de la Cámara: </w:t>
      </w:r>
    </w:p>
    <w:p>
      <w:pPr>
        <w:pStyle w:val="0"/>
        <w:suppressAutoHyphens w:val="false"/>
        <w:rPr>
          <w:rStyle w:val="1"/>
        </w:rPr>
      </w:pPr>
      <w:r>
        <w:rPr>
          <w:rStyle w:val="1"/>
        </w:rPr>
        <w:t xml:space="preserve">• ¿Tiene previsto el Gobierno de Navarra acción alguna para activar lo dispuesto en el artículo 29.1 de la Ley Foral de Patrimonio Cultural de Navarra? </w:t>
      </w:r>
    </w:p>
    <w:p>
      <w:pPr>
        <w:pStyle w:val="0"/>
        <w:suppressAutoHyphens w:val="false"/>
        <w:rPr>
          <w:rStyle w:val="1"/>
        </w:rPr>
      </w:pPr>
      <w:r>
        <w:rPr>
          <w:rStyle w:val="1"/>
        </w:rPr>
        <w:t xml:space="preserve">En lruñea, a 12 de mayo de 2022.</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