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situación en el centro de menores en Marcilla, formulada por la Ilma. Sra. D.ª Uxue Barcos Berruezo (10-22/POR-00195).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del Parlamento de Navarra, presenta la siguiente pregunta oral de máxima actualidad con el fin de que sea respondida en el Pleno de la Cámara del próximo jueves, 19 de mayo, por el Gobierno de Navarra.</w:t>
      </w:r>
    </w:p>
    <w:p>
      <w:pPr>
        <w:pStyle w:val="0"/>
        <w:suppressAutoHyphens w:val="false"/>
        <w:rPr>
          <w:rStyle w:val="1"/>
        </w:rPr>
      </w:pPr>
      <w:r>
        <w:rPr>
          <w:rStyle w:val="1"/>
        </w:rPr>
        <w:t xml:space="preserve">Ante las informaciones de los últimos días, ¿cuál es la situación en el Centro de Menores en Marcilla?</w:t>
      </w:r>
    </w:p>
    <w:p>
      <w:pPr>
        <w:pStyle w:val="0"/>
        <w:suppressAutoHyphens w:val="false"/>
        <w:rPr>
          <w:rStyle w:val="1"/>
        </w:rPr>
      </w:pPr>
      <w:r>
        <w:rPr>
          <w:rStyle w:val="1"/>
        </w:rPr>
        <w:t xml:space="preserve">En Pamplona-Iruña, a 16 de mayo de 2022</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