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mayo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solicita al Congreso de los Diputados que respete el espíritu de la Proposición de Ley de creación de un fondo de compensación para las víctimas del amianto y que la norma que finalmente resulte aprobada no desvirtúe el texto inicial, buscando el máximo consenso posible con el fin de lograr la pronta reparación a las víctimas y a sus familias” (10-22/DEC-00025).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