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maiatzaren 30ean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Marta Álvarez Alonso andreak aurkeztutako galdera, adinekoendako egoitzak kreditatzeko eredu berriari buruzkoa (10-22/POR-00207).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maiatzaren 30ean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Marta Álvarez Alonso andreak, Legebiltzarreko Erregelamenduan ezarritakoaren babesean, honako galdera hau aurkezten du, Nafarroako Gobernuko lehendakariak Osoko Bilkuran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Gobernuko lehendakariaren iritziz adinekoendako egoitzak kreditatzeko eredu berriak, Belarra andreak aurkeztu duen horrek, ukitzen al ditu Nafarroak gizarte zerbitzuen arloan dituen eskumen osoak?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maiatzaren 26an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Marta Álvarez Alonso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