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93BD" w14:textId="16D029C8" w:rsidR="00A44D79" w:rsidRDefault="00A44D79">
      <w:pPr>
        <w:ind w:left="-5" w:right="0"/>
      </w:pPr>
      <w:r>
        <w:t>20 de abril</w:t>
      </w:r>
    </w:p>
    <w:p w14:paraId="62887688" w14:textId="13DCB0A8" w:rsidR="00197DED" w:rsidRDefault="00A44D79">
      <w:pPr>
        <w:ind w:left="-5" w:right="0"/>
      </w:pPr>
      <w:r>
        <w:t>La Consejera de Cultura y Deporte del Gobierno de Navarra, en relación con</w:t>
      </w:r>
      <w:r>
        <w:t xml:space="preserve"> la Pregunta Escrita formulada por el parlamentario foral D. </w:t>
      </w:r>
      <w:proofErr w:type="spellStart"/>
      <w:r>
        <w:t>Maiorga</w:t>
      </w:r>
      <w:proofErr w:type="spellEnd"/>
      <w:r>
        <w:t xml:space="preserve"> Ramírez, adscrito al Grupo Parlamentario EH Bildu (10-22/PES-00089) </w:t>
      </w:r>
      <w:r>
        <w:rPr>
          <w:b/>
          <w:i/>
        </w:rPr>
        <w:t xml:space="preserve">sobre las inversiones en edificios de carácter </w:t>
      </w:r>
      <w:r>
        <w:rPr>
          <w:b/>
          <w:i/>
        </w:rPr>
        <w:t>histórico</w:t>
      </w:r>
      <w:r>
        <w:t>, tiene el honor de informarle lo siguiente:</w:t>
      </w:r>
    </w:p>
    <w:p w14:paraId="28381E7E" w14:textId="77777777" w:rsidR="00197DED" w:rsidRDefault="00A44D79">
      <w:pPr>
        <w:spacing w:after="379" w:line="360" w:lineRule="auto"/>
        <w:ind w:left="-5" w:right="-12"/>
      </w:pPr>
      <w:r>
        <w:t>En cuanto a la primera pregunta,</w:t>
      </w:r>
      <w:r>
        <w:rPr>
          <w:b/>
        </w:rPr>
        <w:t xml:space="preserve"> “¿Dispone la consejera de Cultura y Deporte de un estudio técnico y económico riguroso que justifique anteponer la inversión en Santa María de Viana a otras inversiones </w:t>
      </w:r>
      <w:r>
        <w:rPr>
          <w:b/>
        </w:rPr>
        <w:t>en patrimonio público?”</w:t>
      </w:r>
    </w:p>
    <w:p w14:paraId="0BF68E82" w14:textId="77777777" w:rsidR="00197DED" w:rsidRDefault="00A44D79">
      <w:pPr>
        <w:ind w:left="-5" w:right="0"/>
      </w:pPr>
      <w:r>
        <w:t>Como se ha indicado en la PES_22_00088, la Dirección General de Cultura-Institución Príncipe de Viana, consideró que la restauración de la torre de Santa María de Viana era la actuación que se ajustaba a los requisitos del Component</w:t>
      </w:r>
      <w:r>
        <w:t xml:space="preserve">e C24.I2.P3.1 “Actuación sobre el patrimonio de las CCAA, CCLL y titulares privados en la restauración y puesta en valor del patrimonio cultural español” de los MRR. </w:t>
      </w:r>
    </w:p>
    <w:p w14:paraId="0CC5D6B0" w14:textId="77777777" w:rsidR="00197DED" w:rsidRDefault="00A44D79">
      <w:pPr>
        <w:ind w:left="-5" w:right="0"/>
      </w:pPr>
      <w:r>
        <w:t>En consecuencia, no se antepone a ningún otro monumento declarado individualmente Bien de</w:t>
      </w:r>
      <w:r>
        <w:t xml:space="preserve"> Interés Cultural.</w:t>
      </w:r>
    </w:p>
    <w:p w14:paraId="1CC9E007" w14:textId="77777777" w:rsidR="00197DED" w:rsidRDefault="00A44D79">
      <w:pPr>
        <w:ind w:left="-5" w:right="0"/>
      </w:pPr>
      <w:r>
        <w:t>En este momento el Servicio de Patrimonio Histórico está elaborando un estudio técnico y económico riguroso que se plasmará en un proyecto de intervención con un presupuesto ajustado a las necesidades de la restauración de la primera fas</w:t>
      </w:r>
      <w:r>
        <w:t>e de la torre de Santa María de Viana. Con este proyecto y presupuesto se elaborarán los pliegos administrativo y técnico que servirán para la convocatoria de contratación pública.</w:t>
      </w:r>
    </w:p>
    <w:p w14:paraId="07A427F7" w14:textId="77777777" w:rsidR="00197DED" w:rsidRDefault="00A44D79">
      <w:pPr>
        <w:spacing w:after="379" w:line="360" w:lineRule="auto"/>
        <w:ind w:left="-5" w:right="-12"/>
      </w:pPr>
      <w:r>
        <w:t>En respuesta a la segunda pregunta</w:t>
      </w:r>
      <w:r>
        <w:rPr>
          <w:b/>
        </w:rPr>
        <w:t xml:space="preserve"> “¿Se ha procedido a consultar con las Ad</w:t>
      </w:r>
      <w:r>
        <w:rPr>
          <w:b/>
        </w:rPr>
        <w:t>ministraciones públicas locales sus necesidades de inversión en patrimonio cultural de su titularidad?”</w:t>
      </w:r>
    </w:p>
    <w:p w14:paraId="3F9DE3C8" w14:textId="77777777" w:rsidR="00197DED" w:rsidRDefault="00A44D79">
      <w:pPr>
        <w:ind w:left="-5" w:right="0"/>
      </w:pPr>
      <w:r>
        <w:t>Los inmuebles declarados Bien de Interés Cultural de titularidad de las Administraciones públicas locales se identifican en el Registro de Bienes del Pa</w:t>
      </w:r>
      <w:r>
        <w:t>trimonio Cultural de Navarra, sus características se conocen a través del Inventario de Patrimonio Arquitectónico y de los Planes Urbanísticos Municipales. Las visitas presenciales de los técnicos del Servicio de Patrimonio Histórico son el cauce para eval</w:t>
      </w:r>
      <w:r>
        <w:t>uar las necesidades de intervención es estos bienes protegidos.</w:t>
      </w:r>
    </w:p>
    <w:p w14:paraId="27383A36" w14:textId="77777777" w:rsidR="00197DED" w:rsidRDefault="00A44D79">
      <w:pPr>
        <w:spacing w:after="359" w:line="360" w:lineRule="auto"/>
        <w:ind w:left="0" w:right="0" w:firstLine="0"/>
        <w:jc w:val="left"/>
      </w:pPr>
      <w:r>
        <w:lastRenderedPageBreak/>
        <w:t xml:space="preserve">Según el artículo 5 de la Ley Foral 14/2005, de 14 de noviembre, del Patrimonio Cultural de Navarra “Competencias de las entidades locales de Navarra”, corresponden a las entidades locales de </w:t>
      </w:r>
      <w:r>
        <w:t>Navarra las siguientes competencias en relación con el Patrimonio Cultural de Navarra:</w:t>
      </w:r>
    </w:p>
    <w:p w14:paraId="1FEDA2E5" w14:textId="6176429C" w:rsidR="00197DED" w:rsidRDefault="00A44D79" w:rsidP="00A44D79">
      <w:pPr>
        <w:numPr>
          <w:ilvl w:val="0"/>
          <w:numId w:val="1"/>
        </w:numPr>
        <w:spacing w:after="106" w:line="259" w:lineRule="auto"/>
        <w:ind w:right="-6" w:firstLine="360"/>
        <w:jc w:val="left"/>
      </w:pPr>
      <w:r>
        <w:t xml:space="preserve">La conservación y protección de los bienes inmuebles del Patrimonio Cultural sitos en </w:t>
      </w:r>
      <w:r>
        <w:t>su ámbito territorial.</w:t>
      </w:r>
    </w:p>
    <w:p w14:paraId="5A0EC91B" w14:textId="4C323FB2" w:rsidR="00197DED" w:rsidRDefault="00A44D79" w:rsidP="00A44D79">
      <w:pPr>
        <w:numPr>
          <w:ilvl w:val="0"/>
          <w:numId w:val="1"/>
        </w:numPr>
        <w:spacing w:after="106" w:line="259" w:lineRule="auto"/>
        <w:ind w:right="-6" w:firstLine="360"/>
        <w:jc w:val="left"/>
      </w:pPr>
      <w:r>
        <w:t>La redacción y gestión de los Catálogos urbanísticos de prot</w:t>
      </w:r>
      <w:r>
        <w:t xml:space="preserve">ección y su conexión con </w:t>
      </w:r>
      <w:r>
        <w:t>el Registro de Bienes del Patrimonio Cultural de Navarra.</w:t>
      </w:r>
    </w:p>
    <w:p w14:paraId="0445F2BE" w14:textId="3EC26CBA" w:rsidR="00197DED" w:rsidRDefault="00A44D79" w:rsidP="00A44D79">
      <w:pPr>
        <w:numPr>
          <w:ilvl w:val="0"/>
          <w:numId w:val="1"/>
        </w:numPr>
        <w:spacing w:after="182"/>
        <w:ind w:right="-6" w:firstLine="360"/>
        <w:jc w:val="left"/>
      </w:pPr>
      <w:r>
        <w:t xml:space="preserve">La adopción de las medidas cautelares, así como acordar la expropiación forzosa, en </w:t>
      </w:r>
      <w:r>
        <w:t>orden a la conservación y protección de los Bienes de Relevancia Local, en los términos establecidos en esta Ley Foral.</w:t>
      </w:r>
    </w:p>
    <w:p w14:paraId="24850367" w14:textId="2282B822" w:rsidR="00197DED" w:rsidRDefault="00A44D79" w:rsidP="00A44D79">
      <w:pPr>
        <w:numPr>
          <w:ilvl w:val="0"/>
          <w:numId w:val="1"/>
        </w:numPr>
        <w:spacing w:after="106" w:line="259" w:lineRule="auto"/>
        <w:ind w:right="-6" w:firstLine="360"/>
        <w:jc w:val="left"/>
      </w:pPr>
      <w:r>
        <w:t>La redacción y aplicación de los Planes Especiales de</w:t>
      </w:r>
      <w:r>
        <w:t xml:space="preserve"> Protección, conforme a lo </w:t>
      </w:r>
      <w:r>
        <w:t>dispuesto en la legislación urbanística.</w:t>
      </w:r>
    </w:p>
    <w:p w14:paraId="1DE056BE" w14:textId="77777777" w:rsidR="00197DED" w:rsidRDefault="00A44D79" w:rsidP="00A44D79">
      <w:pPr>
        <w:numPr>
          <w:ilvl w:val="0"/>
          <w:numId w:val="1"/>
        </w:numPr>
        <w:spacing w:after="573"/>
        <w:ind w:right="-6" w:firstLine="360"/>
        <w:jc w:val="left"/>
      </w:pPr>
      <w:r>
        <w:t>Las demás competencias que expresamente les atribuye esta Ley Foral.</w:t>
      </w:r>
    </w:p>
    <w:p w14:paraId="426C8613" w14:textId="77777777" w:rsidR="00197DED" w:rsidRDefault="00A44D79">
      <w:pPr>
        <w:ind w:left="-5" w:right="1245"/>
      </w:pPr>
      <w:r>
        <w:t>Es lo que puedo informar, en cumplimiento de lo dispuesto en el artículo 194 del Reglamento del Parlamento de Navarra.</w:t>
      </w:r>
    </w:p>
    <w:p w14:paraId="58605294" w14:textId="77777777" w:rsidR="00197DED" w:rsidRDefault="00A44D79">
      <w:pPr>
        <w:ind w:left="2066" w:right="0"/>
      </w:pPr>
      <w:r>
        <w:t>Pamplona-Iruña, 20 de abril de 2022</w:t>
      </w:r>
    </w:p>
    <w:p w14:paraId="0FA02E16" w14:textId="77777777" w:rsidR="00A44D79" w:rsidRDefault="00A44D79" w:rsidP="00A44D79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 w:cstheme="minorHAnsi"/>
        </w:rPr>
        <w:t>La Consejera de Cultura y Deporte: Rebeca Esnaola Bermejo</w:t>
      </w:r>
    </w:p>
    <w:p w14:paraId="10E658FE" w14:textId="1FE0D6E1" w:rsidR="00197DED" w:rsidRDefault="00197DED" w:rsidP="00A44D79">
      <w:pPr>
        <w:spacing w:after="1659"/>
        <w:ind w:left="1584" w:right="0"/>
      </w:pPr>
    </w:p>
    <w:sectPr w:rsidR="00197DED" w:rsidSect="00A44D79">
      <w:pgSz w:w="11900" w:h="16840"/>
      <w:pgMar w:top="1418" w:right="1411" w:bottom="1003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2D27"/>
    <w:multiLevelType w:val="hybridMultilevel"/>
    <w:tmpl w:val="D1C28226"/>
    <w:lvl w:ilvl="0" w:tplc="5C6ACCD6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E58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872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8D3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AFD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428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29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96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C3B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788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ED"/>
    <w:rsid w:val="00197DED"/>
    <w:rsid w:val="007A132A"/>
    <w:rsid w:val="00A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7CC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0" w:line="359" w:lineRule="auto"/>
      <w:ind w:left="10" w:right="6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2022-05-12T11:32:00Z</dcterms:created>
  <dcterms:modified xsi:type="dcterms:W3CDTF">2022-05-12T11:33:00Z</dcterms:modified>
</cp:coreProperties>
</file>