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5858" w14:textId="1F46D3B2" w:rsidR="00442352" w:rsidRDefault="002F74D3" w:rsidP="002F74D3">
      <w:pPr>
        <w:spacing w:after="0"/>
        <w:ind w:left="-5" w:right="-1"/>
      </w:pPr>
      <w:r>
        <w:t>La Consejera de Salud del Gobierno de Navarra, en relación con la pregunta escrita (10-22-PES-00114) presentada por la Parlamentaria Foral Ilma. Sra. Cristina Ibarrola Guillén, adscrita al Grupo Parlamentario de Navarra Suma, que solicita “información sobre el Plan de Salud Laboral 2015-2020”, tiene el honor de remitirle la siguiente información:</w:t>
      </w:r>
    </w:p>
    <w:p w14:paraId="16411BBD" w14:textId="77777777" w:rsidR="00442352" w:rsidRDefault="002F74D3" w:rsidP="002F74D3">
      <w:pPr>
        <w:numPr>
          <w:ilvl w:val="0"/>
          <w:numId w:val="1"/>
        </w:numPr>
        <w:spacing w:after="0"/>
        <w:ind w:right="-1" w:hanging="360"/>
      </w:pPr>
      <w:r>
        <w:t>¿En qué cuestiones concretas le parece a la Consejera de Salud que el Plan de Salud Laboral 2015-2020 era un plan difícil de ponerlo en marcha?</w:t>
      </w:r>
    </w:p>
    <w:p w14:paraId="5AD1D2BD" w14:textId="77777777" w:rsidR="00442352" w:rsidRDefault="002F74D3" w:rsidP="002F74D3">
      <w:pPr>
        <w:spacing w:after="0"/>
        <w:ind w:left="-5" w:right="-1"/>
      </w:pPr>
      <w:r>
        <w:t xml:space="preserve">El Plan de Salud Laboral 2015-2020 era un plan genérico que requería concretar las actuaciones a desarrollar. En su Título IX (pág. 55) puede leerse: </w:t>
      </w:r>
    </w:p>
    <w:p w14:paraId="3E8E7587" w14:textId="77777777" w:rsidR="00442352" w:rsidRDefault="002F74D3" w:rsidP="002F74D3">
      <w:pPr>
        <w:spacing w:after="0" w:line="288" w:lineRule="auto"/>
        <w:ind w:left="0" w:right="34" w:firstLine="0"/>
      </w:pPr>
      <w:r>
        <w:rPr>
          <w:i/>
        </w:rPr>
        <w:t>“A partir de este momento se creará un grupo de trabajo que, en primer lugar, establecerá el calendario de implementación de cada una de las acciones concretas contenidas en el documento, según su grado de prioridad, así como las unidades implicadas, responsables y plazo de ejecución. Se podrán señalar indicadores de cumplimiento y metas a alcanzar”</w:t>
      </w:r>
    </w:p>
    <w:p w14:paraId="7A3F7FDA" w14:textId="77777777" w:rsidR="00442352" w:rsidRDefault="002F74D3" w:rsidP="002F74D3">
      <w:pPr>
        <w:spacing w:after="0"/>
        <w:ind w:left="-5" w:right="-1"/>
      </w:pPr>
      <w:r>
        <w:t xml:space="preserve">El Plan fue elaborado antes de terminar la anterior legislatura y en su construcción participaron los dos responsables de servicio del ámbito de Salud Laboral del Instituto de Salud Pública y Laboral de Navarra, una puesta en marcha en la que el posterior Ejecutivo –debido al cambio de Gobierno derivado de las elecciones autonómicas- trabajó para incluir la participación de las y los profesionales del servicio. El Plan de Salud Laboral se plantea desde y para el desarrollo de líneas de trabajo del Servicio de Salud Laboral, y el Plan de Acción, desarrollado de forma participada, pretende avanzar en la implicación de otras administraciones y protagonistas preventivos en las actuaciones previstas. </w:t>
      </w:r>
    </w:p>
    <w:p w14:paraId="7118B6CB" w14:textId="77777777" w:rsidR="00442352" w:rsidRDefault="002F74D3" w:rsidP="002F74D3">
      <w:pPr>
        <w:numPr>
          <w:ilvl w:val="0"/>
          <w:numId w:val="1"/>
        </w:numPr>
        <w:spacing w:after="0"/>
        <w:ind w:right="-1" w:hanging="360"/>
      </w:pPr>
      <w:r>
        <w:t>¿Qué indicadores concretos le parecen no adecuados y de qué documento concreto, del Plan de Salud Laboral 2015-2020 o del Plan de Acción 2017-2020?</w:t>
      </w:r>
    </w:p>
    <w:p w14:paraId="5C297976" w14:textId="77777777" w:rsidR="00442352" w:rsidRDefault="002F74D3" w:rsidP="002F74D3">
      <w:pPr>
        <w:spacing w:after="0"/>
        <w:ind w:left="-5" w:right="-1"/>
      </w:pPr>
      <w:r>
        <w:t>El Plan de Salud Laboral proponía la eventual definición posterior de indicadores, los cuales se desglosan en el Plan de Acción 2017-2020 y cuya evaluación y mejora es una valoración de carácter científico para ayudar a los siguientes equipos a reflexionar sobre su adecuación.</w:t>
      </w:r>
    </w:p>
    <w:p w14:paraId="3E259D7A" w14:textId="77777777" w:rsidR="00442352" w:rsidRDefault="002F74D3" w:rsidP="002F74D3">
      <w:pPr>
        <w:numPr>
          <w:ilvl w:val="0"/>
          <w:numId w:val="1"/>
        </w:numPr>
        <w:spacing w:after="0"/>
        <w:ind w:right="-1" w:hanging="360"/>
      </w:pPr>
      <w:r>
        <w:t>En ninguna valoración hasta ahora y en ningún documento estratégico ni planteamiento del Departamento de Salud, se había planteado modificar o elaborar un nuevo plan de salud laboral ni un nuevo plan de acción de salud laboral antes de finalizar la vigencia de los anteriores. ¿Por qué no lo planteó si no le parecían adecuados? ¿Por qué ha esperado tanto a modificarlos, cuando estamos en abril de 2022 y todavía no disponemos de un nuevo plan de salud laboral desde 2015, Plan que la Consejera considera difícil de aplicar?</w:t>
      </w:r>
    </w:p>
    <w:p w14:paraId="44172397" w14:textId="77777777" w:rsidR="00442352" w:rsidRDefault="002F74D3" w:rsidP="002F74D3">
      <w:pPr>
        <w:spacing w:after="0"/>
        <w:ind w:left="-5" w:right="-1"/>
      </w:pPr>
      <w:r>
        <w:lastRenderedPageBreak/>
        <w:t xml:space="preserve">La adecuación del Plan de Salud Laboral fue planteada desde el primer momento por las y los nuevos responsables del Servicio de Salud Laboral. Tal y como se recoge en la introducción </w:t>
      </w:r>
      <w:proofErr w:type="gramStart"/>
      <w:r>
        <w:t>del mismo</w:t>
      </w:r>
      <w:proofErr w:type="gramEnd"/>
      <w:r>
        <w:t xml:space="preserve"> se incluyeron líneas estratégicas del Plan de Salud Laboral aprobado por el anterior gobierno y se volvió a valorar la inclusión y priorización de objetivos y líneas contemplados en los planes del Departamento de Desarrollo Económico, en la Estrategia Española de Seguridad y Salud en el Trabajo, del Plan de Actuaciones de la Seguridad Social y de la Inspección de Trabajo.</w:t>
      </w:r>
    </w:p>
    <w:p w14:paraId="46BD42A1" w14:textId="77777777" w:rsidR="00442352" w:rsidRDefault="002F74D3" w:rsidP="002F74D3">
      <w:pPr>
        <w:spacing w:after="0"/>
        <w:ind w:left="-5" w:right="-1"/>
      </w:pPr>
      <w:r>
        <w:t xml:space="preserve">Como viene recogido en la introducción del Plan de Acción, todo ello se sometió a un amplio proceso de participación de las y los profesionales del Servicio de Salud Laboral, del Departamento de Desarrollo Económico y del Consejo Navarro de Salud Laboral. </w:t>
      </w:r>
    </w:p>
    <w:p w14:paraId="65B1EE1B" w14:textId="77777777" w:rsidR="00442352" w:rsidRDefault="002F74D3" w:rsidP="002F74D3">
      <w:pPr>
        <w:numPr>
          <w:ilvl w:val="0"/>
          <w:numId w:val="1"/>
        </w:numPr>
        <w:spacing w:after="0"/>
        <w:ind w:right="-1" w:hanging="360"/>
      </w:pPr>
      <w:r>
        <w:t xml:space="preserve">Todo plan debe ser adaptado a las circunstancias cambiantes. Entre 2015 </w:t>
      </w:r>
      <w:proofErr w:type="spellStart"/>
      <w:r>
        <w:t>y2021</w:t>
      </w:r>
      <w:proofErr w:type="spellEnd"/>
      <w:r>
        <w:t>, Navarra es la Comunidad que más ha incrementado el índice de accidentabilidad con baja. Independientemente de su valoración inicial del Plan 2015-2020 y del Plan de Acción 2017-2020, ¿por qué no han modificado en 3 años las líneas marcadas en dichos planes?</w:t>
      </w:r>
    </w:p>
    <w:p w14:paraId="760876EB" w14:textId="77777777" w:rsidR="00442352" w:rsidRDefault="002F74D3" w:rsidP="002F74D3">
      <w:pPr>
        <w:spacing w:after="0"/>
        <w:ind w:left="-5" w:right="-1"/>
      </w:pPr>
      <w:r>
        <w:t>Sin pretender ser exhaustivos en cuanto a los cambios realizados respecto a lo previsto en el Plan de Acción, caben destacarse algunas actuaciones llevadas a cabo. Así, en el Consejo Navarro de Salud Laboral se han presentado numerosos proyectos en función a la evolución de la accidentabilidad. De hecho, se constituyó la nueva Unidad de Prevención de Accidentes modificando para ello el listado de posibles titulaciones a contratar por el SNSO al objeto de incluir a profesionales de Técnicos Superiores en Prevención de Riesgos Profesionales (FPII) por vez primera. Ello permitió una campaña de visitas a empresas de las divisiones CNAE preferentes elegidas por su mayor incidencia de accidentes de trabajo y ocupación, algo que nunca se había hecho antes.</w:t>
      </w:r>
    </w:p>
    <w:p w14:paraId="3DC711E7" w14:textId="77777777" w:rsidR="00442352" w:rsidRDefault="002F74D3" w:rsidP="002F74D3">
      <w:pPr>
        <w:spacing w:after="0"/>
        <w:ind w:left="-5" w:right="-1"/>
      </w:pPr>
      <w:r>
        <w:t>Además, se desarrolló el proyecto ALIP revisando las investigaciones de accidentes leves de especial interés preventivo, lo cual llevó a conocer la generalizada inadecuación de dichas investigaciones en las empresas, lo que ha permitido incluir la necesidad de abordaje de esta situación en el actual borrador de Plan de salud laboral 2022-2025</w:t>
      </w:r>
    </w:p>
    <w:p w14:paraId="1906A090" w14:textId="77777777" w:rsidR="00442352" w:rsidRDefault="002F74D3" w:rsidP="002F74D3">
      <w:pPr>
        <w:spacing w:after="0"/>
        <w:ind w:left="-5" w:right="-1"/>
      </w:pPr>
      <w:r>
        <w:t>Por otro lado, sobrevinieron otras actuaciones no previstas como la realización de jornadas estatales que en nuestro caso decidimos que cursaran por vez primera en el Estado sobre la necesaria integración de la salud laboral y la salud pública. En ellas estuvieron presentes las direcciones generales de trabajo y salud de prácticamente todas las Comunidades Autónomas, del Ministerio de Sanidad y de los centros del Instituto Nacional de Seguridad y Salud en el Trabajo.</w:t>
      </w:r>
    </w:p>
    <w:p w14:paraId="2E4A7F64" w14:textId="77777777" w:rsidR="00442352" w:rsidRDefault="002F74D3" w:rsidP="002F74D3">
      <w:pPr>
        <w:spacing w:after="0"/>
        <w:ind w:left="-5" w:right="-1"/>
      </w:pPr>
      <w:r>
        <w:lastRenderedPageBreak/>
        <w:t xml:space="preserve">Asimismo, se desarrollaron campañas como la denominada “En prevención eres una pieza clave” o frente a caídas de altura, y se elaboraron alertas frente a accidentes de trabajo no previstas pero consideradas necesarias para hacer frente al incremento de los índices de accidentabilidad laboral desde 2012 detectado a nivel nacional. A su vez, se constató la necesidad de modificar los informes de siniestralidad anuales ante la necesidad de profundizar en el conocimiento de los factores de riesgo de los accidentes de trabajo, actuación no prevista tampoco en el Plan de Acción. Junto a otros cambios, los introducidos fueron informados y debatidos oportunamente en el Consejo Navarro de Salud Laboral. </w:t>
      </w:r>
    </w:p>
    <w:p w14:paraId="7B05F950" w14:textId="77777777" w:rsidR="00442352" w:rsidRDefault="002F74D3" w:rsidP="002F74D3">
      <w:pPr>
        <w:spacing w:after="0"/>
        <w:ind w:left="-5" w:right="-1"/>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9FA1AAB" wp14:editId="3ADE0F54">
                <wp:simplePos x="0" y="0"/>
                <wp:positionH relativeFrom="column">
                  <wp:posOffset>947420</wp:posOffset>
                </wp:positionH>
                <wp:positionV relativeFrom="paragraph">
                  <wp:posOffset>2307124</wp:posOffset>
                </wp:positionV>
                <wp:extent cx="43180" cy="175260"/>
                <wp:effectExtent l="0" t="0" r="0" b="0"/>
                <wp:wrapNone/>
                <wp:docPr id="2672" name="Group 2672"/>
                <wp:cNvGraphicFramePr/>
                <a:graphic xmlns:a="http://schemas.openxmlformats.org/drawingml/2006/main">
                  <a:graphicData uri="http://schemas.microsoft.com/office/word/2010/wordprocessingGroup">
                    <wpg:wgp>
                      <wpg:cNvGrpSpPr/>
                      <wpg:grpSpPr>
                        <a:xfrm>
                          <a:off x="0" y="0"/>
                          <a:ext cx="43180" cy="175260"/>
                          <a:chOff x="0" y="0"/>
                          <a:chExt cx="43180" cy="175260"/>
                        </a:xfrm>
                      </wpg:grpSpPr>
                      <wps:wsp>
                        <wps:cNvPr id="3284" name="Shape 3284"/>
                        <wps:cNvSpPr/>
                        <wps:spPr>
                          <a:xfrm>
                            <a:off x="0" y="0"/>
                            <a:ext cx="43180" cy="175260"/>
                          </a:xfrm>
                          <a:custGeom>
                            <a:avLst/>
                            <a:gdLst/>
                            <a:ahLst/>
                            <a:cxnLst/>
                            <a:rect l="0" t="0" r="0" b="0"/>
                            <a:pathLst>
                              <a:path w="43180" h="175260">
                                <a:moveTo>
                                  <a:pt x="0" y="0"/>
                                </a:moveTo>
                                <a:lnTo>
                                  <a:pt x="43180" y="0"/>
                                </a:lnTo>
                                <a:lnTo>
                                  <a:pt x="4318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672" style="width:3.39999pt;height:13.8pt;position:absolute;z-index:-2147483614;mso-position-horizontal-relative:text;mso-position-horizontal:absolute;margin-left:74.6pt;mso-position-vertical-relative:text;margin-top:181.663pt;" coordsize="431,1752">
                <v:shape id="Shape 3285" style="position:absolute;width:431;height:1752;left:0;top:0;" coordsize="43180,175260" path="m0,0l43180,0l43180,175260l0,175260l0,0">
                  <v:stroke weight="0pt" endcap="flat" joinstyle="miter" miterlimit="10" on="false" color="#000000" opacity="0"/>
                  <v:fill on="true" color="#ffff00"/>
                </v:shape>
              </v:group>
            </w:pict>
          </mc:Fallback>
        </mc:AlternateContent>
      </w:r>
      <w:r>
        <w:t xml:space="preserve">Es evidente que el Plan de Acción se ha intentado adaptar a la evolución de la situación y a las nuevas necesidades surgidas en el complejo y cambiante mundo del trabajo que modifican la persistencia y aparición de nuevos riesgos y, por tanto, de daños. Nos referimos a la evolución del mercado de trabajo, a la fase expansiva del ciclo económico, a los altos niveles de desempleo, al debilitamiento del poder contractual sindical en las relaciones laborales, a la generalización de la subcontratación y la </w:t>
      </w:r>
      <w:proofErr w:type="spellStart"/>
      <w:r>
        <w:t>micronización</w:t>
      </w:r>
      <w:proofErr w:type="spellEnd"/>
      <w:r>
        <w:t xml:space="preserve"> de empresas, una estructura productiva con gran peso de la industria con mayor riesgo, a unas condiciones de empleo con elevados niveles de eventualidad y facilitación del despido etc. a lo que podría añadirse la reflexión sobre la conveniencia de un modelo mixto del sistema preventivo en las empresas, entre propio y externalizado. </w:t>
      </w:r>
    </w:p>
    <w:p w14:paraId="2F3A7809" w14:textId="77777777" w:rsidR="00442352" w:rsidRDefault="002F74D3" w:rsidP="002F74D3">
      <w:pPr>
        <w:spacing w:after="0"/>
        <w:ind w:left="-5" w:right="-1"/>
      </w:pPr>
      <w:r>
        <w:t>Por todo ello, es necesario que se mantengan y maximicen los esfuerzos de las Administraciones públicas y los agentes sociales en materia de salud laboral para hacer frente a la fuerza de las circunstancias citadas, muchas de ellas explicativas en parte de la evolución negativa de los datos de siniestralidad laboral. Como siempre, el Departamento de Salud está abierto y es receptivo a propuestas y contribuciones constructivas que permitan maximizar las actuaciones en cualquiera de sus ámbitos.</w:t>
      </w:r>
      <w:r>
        <w:rPr>
          <w:rFonts w:ascii="Calibri" w:eastAsia="Calibri" w:hAnsi="Calibri" w:cs="Calibri"/>
          <w:noProof/>
          <w:sz w:val="22"/>
        </w:rPr>
        <mc:AlternateContent>
          <mc:Choice Requires="wpg">
            <w:drawing>
              <wp:inline distT="0" distB="0" distL="0" distR="0" wp14:anchorId="73FED0FF" wp14:editId="11A4AB6B">
                <wp:extent cx="43180" cy="175260"/>
                <wp:effectExtent l="0" t="0" r="0" b="0"/>
                <wp:docPr id="2646" name="Group 2646"/>
                <wp:cNvGraphicFramePr/>
                <a:graphic xmlns:a="http://schemas.openxmlformats.org/drawingml/2006/main">
                  <a:graphicData uri="http://schemas.microsoft.com/office/word/2010/wordprocessingGroup">
                    <wpg:wgp>
                      <wpg:cNvGrpSpPr/>
                      <wpg:grpSpPr>
                        <a:xfrm>
                          <a:off x="0" y="0"/>
                          <a:ext cx="43180" cy="175260"/>
                          <a:chOff x="0" y="0"/>
                          <a:chExt cx="43180" cy="175260"/>
                        </a:xfrm>
                      </wpg:grpSpPr>
                      <wps:wsp>
                        <wps:cNvPr id="3286" name="Shape 3286"/>
                        <wps:cNvSpPr/>
                        <wps:spPr>
                          <a:xfrm>
                            <a:off x="0" y="0"/>
                            <a:ext cx="43180" cy="175260"/>
                          </a:xfrm>
                          <a:custGeom>
                            <a:avLst/>
                            <a:gdLst/>
                            <a:ahLst/>
                            <a:cxnLst/>
                            <a:rect l="0" t="0" r="0" b="0"/>
                            <a:pathLst>
                              <a:path w="43180" h="175260">
                                <a:moveTo>
                                  <a:pt x="0" y="0"/>
                                </a:moveTo>
                                <a:lnTo>
                                  <a:pt x="43180" y="0"/>
                                </a:lnTo>
                                <a:lnTo>
                                  <a:pt x="4318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inline>
            </w:drawing>
          </mc:Choice>
          <mc:Fallback xmlns:a="http://schemas.openxmlformats.org/drawingml/2006/main">
            <w:pict>
              <v:group id="Group 2646" style="width:3.39999pt;height:13.8pt;mso-position-horizontal-relative:char;mso-position-vertical-relative:line" coordsize="431,1752">
                <v:shape id="Shape 3287" style="position:absolute;width:431;height:1752;left:0;top:0;" coordsize="43180,175260" path="m0,0l43180,0l43180,175260l0,175260l0,0">
                  <v:stroke weight="0pt" endcap="flat" joinstyle="miter" miterlimit="10" on="false" color="#000000" opacity="0"/>
                  <v:fill on="true" color="#ffff00"/>
                </v:shape>
              </v:group>
            </w:pict>
          </mc:Fallback>
        </mc:AlternateContent>
      </w:r>
      <w:r>
        <w:t xml:space="preserve"> </w:t>
      </w:r>
    </w:p>
    <w:p w14:paraId="711BC26A" w14:textId="520EB599" w:rsidR="00442352" w:rsidRDefault="002F74D3" w:rsidP="002F74D3">
      <w:pPr>
        <w:spacing w:after="0"/>
        <w:ind w:left="-5" w:right="-1"/>
      </w:pPr>
      <w:r>
        <w:t>Es cuanto tengo el honor de informar en cumplimiento de lo dispuesto en el artículo 194 del Reglamento del Parlamento de Navarra.</w:t>
      </w:r>
    </w:p>
    <w:p w14:paraId="50FE51D8" w14:textId="77777777" w:rsidR="00442352" w:rsidRDefault="002F74D3" w:rsidP="002F74D3">
      <w:pPr>
        <w:spacing w:after="0" w:line="265" w:lineRule="auto"/>
        <w:ind w:left="11" w:right="1"/>
        <w:jc w:val="center"/>
      </w:pPr>
      <w:r>
        <w:t>Pamplona, 9 de mayo de 2022</w:t>
      </w:r>
    </w:p>
    <w:p w14:paraId="7507DB40" w14:textId="77777777" w:rsidR="003852EF" w:rsidRPr="003852EF" w:rsidRDefault="003852EF" w:rsidP="002F74D3">
      <w:pPr>
        <w:spacing w:after="0" w:line="360" w:lineRule="auto"/>
        <w:ind w:left="0" w:right="0" w:firstLine="0"/>
        <w:jc w:val="left"/>
        <w:rPr>
          <w:rFonts w:asciiTheme="minorHAnsi" w:eastAsia="Times New Roman" w:hAnsiTheme="minorHAnsi" w:cstheme="minorHAnsi"/>
          <w:color w:val="auto"/>
          <w:sz w:val="22"/>
          <w:lang w:val="es-ES_tradnl"/>
        </w:rPr>
      </w:pPr>
      <w:r w:rsidRPr="003852EF">
        <w:rPr>
          <w:rFonts w:asciiTheme="minorHAnsi" w:eastAsia="Times New Roman" w:hAnsiTheme="minorHAnsi" w:cstheme="minorHAnsi"/>
          <w:color w:val="auto"/>
          <w:sz w:val="22"/>
          <w:lang w:val="es-ES_tradnl"/>
        </w:rPr>
        <w:t xml:space="preserve">La Consejera de Salud: Santos Induráin </w:t>
      </w:r>
      <w:proofErr w:type="spellStart"/>
      <w:r w:rsidRPr="003852EF">
        <w:rPr>
          <w:rFonts w:asciiTheme="minorHAnsi" w:eastAsia="Times New Roman" w:hAnsiTheme="minorHAnsi" w:cstheme="minorHAnsi"/>
          <w:color w:val="auto"/>
          <w:sz w:val="22"/>
          <w:lang w:val="es-ES_tradnl"/>
        </w:rPr>
        <w:t>Orduna</w:t>
      </w:r>
      <w:proofErr w:type="spellEnd"/>
    </w:p>
    <w:p w14:paraId="7BEB7B5D" w14:textId="790FFA72" w:rsidR="00442352" w:rsidRDefault="00442352" w:rsidP="002F74D3">
      <w:pPr>
        <w:spacing w:after="0" w:line="265" w:lineRule="auto"/>
        <w:ind w:left="11" w:right="2"/>
        <w:jc w:val="center"/>
      </w:pPr>
    </w:p>
    <w:sectPr w:rsidR="00442352">
      <w:pgSz w:w="11900" w:h="16840"/>
      <w:pgMar w:top="1425" w:right="1697" w:bottom="1929"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C2DFE"/>
    <w:multiLevelType w:val="hybridMultilevel"/>
    <w:tmpl w:val="53AE9812"/>
    <w:lvl w:ilvl="0" w:tplc="946ED93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6A9986">
      <w:start w:val="1"/>
      <w:numFmt w:val="lowerLetter"/>
      <w:lvlText w:val="%2"/>
      <w:lvlJc w:val="left"/>
      <w:pPr>
        <w:ind w:left="1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50EE5E">
      <w:start w:val="1"/>
      <w:numFmt w:val="lowerRoman"/>
      <w:lvlText w:val="%3"/>
      <w:lvlJc w:val="left"/>
      <w:pPr>
        <w:ind w:left="2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A8A524">
      <w:start w:val="1"/>
      <w:numFmt w:val="decimal"/>
      <w:lvlText w:val="%4"/>
      <w:lvlJc w:val="left"/>
      <w:pPr>
        <w:ind w:left="2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AABD00">
      <w:start w:val="1"/>
      <w:numFmt w:val="lowerLetter"/>
      <w:lvlText w:val="%5"/>
      <w:lvlJc w:val="left"/>
      <w:pPr>
        <w:ind w:left="3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5048E0">
      <w:start w:val="1"/>
      <w:numFmt w:val="lowerRoman"/>
      <w:lvlText w:val="%6"/>
      <w:lvlJc w:val="left"/>
      <w:pPr>
        <w:ind w:left="4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CC3CBA">
      <w:start w:val="1"/>
      <w:numFmt w:val="decimal"/>
      <w:lvlText w:val="%7"/>
      <w:lvlJc w:val="left"/>
      <w:pPr>
        <w:ind w:left="4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58DAB4">
      <w:start w:val="1"/>
      <w:numFmt w:val="lowerLetter"/>
      <w:lvlText w:val="%8"/>
      <w:lvlJc w:val="left"/>
      <w:pPr>
        <w:ind w:left="5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542480">
      <w:start w:val="1"/>
      <w:numFmt w:val="lowerRoman"/>
      <w:lvlText w:val="%9"/>
      <w:lvlJc w:val="left"/>
      <w:pPr>
        <w:ind w:left="6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04417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52"/>
    <w:rsid w:val="002F74D3"/>
    <w:rsid w:val="003852EF"/>
    <w:rsid w:val="00442352"/>
    <w:rsid w:val="00C23A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5C58"/>
  <w15:docId w15:val="{B25CA54E-8C71-48E0-9B3B-2DB732B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29" w:line="290" w:lineRule="auto"/>
      <w:ind w:left="10" w:right="10"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6482</Characters>
  <Application>Microsoft Office Word</Application>
  <DocSecurity>0</DocSecurity>
  <Lines>54</Lines>
  <Paragraphs>15</Paragraphs>
  <ScaleCrop>false</ScaleCrop>
  <Company>Hewlett-Packard Company</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4</cp:revision>
  <dcterms:created xsi:type="dcterms:W3CDTF">2022-05-16T06:46:00Z</dcterms:created>
  <dcterms:modified xsi:type="dcterms:W3CDTF">2022-06-09T13:55:00Z</dcterms:modified>
</cp:coreProperties>
</file>