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establecido en el artículo 114 del Reglamento de la Cámara, se ordena la publicación en el Boletín Oficial del Parlamento de Navarra de la resolución por la que se insta al Gobierno de Navarra a garantizar el acceso de los pacientes con fibrilación auricular no valvular (FANV) a los anticoagulantes orales de acción directa (ACOD) de acuerdo con las recomendaciones de las Guías de Práctica Clínica europeas y españolas, aprobada por la Comisión de Salud del Parlamento de Navarra en sesión celebrada el día 29 de junio de 2022, cuyo texto se inserta a continuación:</w:t>
      </w:r>
    </w:p>
    <w:p>
      <w:pPr>
        <w:pStyle w:val="0"/>
        <w:suppressAutoHyphens w:val="false"/>
        <w:rPr>
          <w:rStyle w:val="1"/>
        </w:rPr>
      </w:pPr>
      <w:r>
        <w:rPr>
          <w:rStyle w:val="1"/>
        </w:rPr>
        <w:t xml:space="preserve">"El Parlamento de Navarra insta al Gobierno de Navarra: </w:t>
      </w:r>
    </w:p>
    <w:p>
      <w:pPr>
        <w:pStyle w:val="0"/>
        <w:suppressAutoHyphens w:val="false"/>
        <w:rPr>
          <w:rStyle w:val="1"/>
        </w:rPr>
      </w:pPr>
      <w:r>
        <w:rPr>
          <w:rStyle w:val="1"/>
        </w:rPr>
        <w:t xml:space="preserve">1. Garantizar el acceso de los pacientes con FANV a los ACOD de acuerdo con las recomendaciones de las Guías de Práctica Clínica europeas y españolas. </w:t>
      </w:r>
    </w:p>
    <w:p>
      <w:pPr>
        <w:pStyle w:val="0"/>
        <w:suppressAutoHyphens w:val="false"/>
        <w:rPr>
          <w:rStyle w:val="1"/>
        </w:rPr>
      </w:pPr>
      <w:r>
        <w:rPr>
          <w:rStyle w:val="1"/>
        </w:rPr>
        <w:t xml:space="preserve">2. Flexibilizar el inicio del tratamiento anticoagulante oral con un ACOD en los pacientes con FANV que presenten un riesgo elevado de padecer un ictus y/o un sangrado mayor y/o tuvieran bajas posibilidades de lograr un adecuado control de la anticoagulación con AVK. </w:t>
      </w:r>
    </w:p>
    <w:p>
      <w:pPr>
        <w:pStyle w:val="0"/>
        <w:suppressAutoHyphens w:val="false"/>
        <w:rPr>
          <w:rStyle w:val="1"/>
        </w:rPr>
      </w:pPr>
      <w:r>
        <w:rPr>
          <w:rStyle w:val="1"/>
        </w:rPr>
        <w:t xml:space="preserve">3. Reducir el plazo a 3 meses para autorizar el cambio de AVK a ACOD en pacientes con mal control con AVK. </w:t>
      </w:r>
    </w:p>
    <w:p>
      <w:pPr>
        <w:pStyle w:val="0"/>
        <w:suppressAutoHyphens w:val="false"/>
        <w:rPr>
          <w:rStyle w:val="1"/>
        </w:rPr>
      </w:pPr>
      <w:r>
        <w:rPr>
          <w:rStyle w:val="1"/>
        </w:rPr>
        <w:t xml:space="preserve">4. Simplificar el visado de inspección que actualmente requieren los ACOD y pasar a un visado automático con revisión posterior. </w:t>
      </w:r>
    </w:p>
    <w:p>
      <w:pPr>
        <w:pStyle w:val="0"/>
        <w:suppressAutoHyphens w:val="false"/>
        <w:rPr>
          <w:rStyle w:val="1"/>
        </w:rPr>
      </w:pPr>
      <w:r>
        <w:rPr>
          <w:rStyle w:val="1"/>
        </w:rPr>
        <w:t xml:space="preserve">5. Establecer un sistema de alerta informatizado a los profesionales sanitarios para poder identificar tempranamente los pacientes mal anticoagulados y tomar las medidas de cambio de tratamiento más adecuadas. </w:t>
      </w:r>
    </w:p>
    <w:p>
      <w:pPr>
        <w:pStyle w:val="0"/>
        <w:suppressAutoHyphens w:val="false"/>
        <w:rPr>
          <w:rStyle w:val="1"/>
        </w:rPr>
      </w:pPr>
      <w:r>
        <w:rPr>
          <w:rStyle w:val="1"/>
        </w:rPr>
        <w:t xml:space="preserve">6. Incorporar auditorías de calidad en la prevención del ictus y el control de la anticoagulación. </w:t>
      </w:r>
    </w:p>
    <w:p>
      <w:pPr>
        <w:pStyle w:val="0"/>
        <w:suppressAutoHyphens w:val="false"/>
        <w:rPr>
          <w:rStyle w:val="1"/>
        </w:rPr>
      </w:pPr>
      <w:r>
        <w:rPr>
          <w:rStyle w:val="1"/>
        </w:rPr>
        <w:t xml:space="preserve">7. Crear un observatorio de resultados en pacientes anticoagulados, que permita tener datos de vida real".</w:t>
      </w:r>
    </w:p>
    <w:p>
      <w:pPr>
        <w:pStyle w:val="0"/>
        <w:suppressAutoHyphens w:val="false"/>
        <w:rPr>
          <w:rStyle w:val="1"/>
        </w:rPr>
      </w:pPr>
      <w:r>
        <w:rPr>
          <w:rStyle w:val="1"/>
        </w:rPr>
        <w:t xml:space="preserve">Pamplona, 29 de junio de 2022</w:t>
      </w:r>
    </w:p>
    <w:p>
      <w:pPr>
        <w:pStyle w:val="0"/>
        <w:suppressAutoHyphens w:val="false"/>
        <w:rPr>
          <w:rStyle w:val="1"/>
        </w:rPr>
      </w:pPr>
      <w:r>
        <w:rPr>
          <w:rStyle w:val="1"/>
        </w:rPr>
        <w:t xml:space="preserve">El Presidente: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