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62C5" w14:textId="77777777" w:rsidR="00941DA2" w:rsidRDefault="00645AFB" w:rsidP="00941DA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</w:t>
      </w:r>
      <w:r w:rsidR="008E40C3">
        <w:rPr>
          <w:rFonts w:ascii="DejaVu Serif" w:hAnsi="DejaVu Serif"/>
          <w:sz w:val="22"/>
          <w:szCs w:val="22"/>
        </w:rPr>
        <w:t xml:space="preserve">regunta escrita </w:t>
      </w:r>
      <w:r w:rsidRPr="007945FE">
        <w:rPr>
          <w:rFonts w:ascii="DejaVu Serif" w:hAnsi="DejaVu Serif"/>
          <w:sz w:val="22"/>
          <w:szCs w:val="22"/>
        </w:rPr>
        <w:t>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-0</w:t>
      </w:r>
      <w:r w:rsidR="0024532B">
        <w:rPr>
          <w:rFonts w:ascii="DejaVu Serif" w:hAnsi="DejaVu Serif"/>
          <w:sz w:val="22"/>
          <w:szCs w:val="22"/>
        </w:rPr>
        <w:t>0</w:t>
      </w:r>
      <w:r w:rsidR="007862D7">
        <w:rPr>
          <w:rFonts w:ascii="DejaVu Serif" w:hAnsi="DejaVu Serif"/>
          <w:sz w:val="22"/>
          <w:szCs w:val="22"/>
        </w:rPr>
        <w:t>1</w:t>
      </w:r>
      <w:r w:rsidR="009264D5">
        <w:rPr>
          <w:rFonts w:ascii="DejaVu Serif" w:hAnsi="DejaVu Serif"/>
          <w:sz w:val="22"/>
          <w:szCs w:val="22"/>
        </w:rPr>
        <w:t>26</w:t>
      </w:r>
      <w:r w:rsidRPr="007945FE">
        <w:rPr>
          <w:rFonts w:ascii="DejaVu Serif" w:hAnsi="DejaVu Serif"/>
          <w:sz w:val="22"/>
          <w:szCs w:val="22"/>
        </w:rPr>
        <w:t>) realizada por l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Ilm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. Sr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. D</w:t>
      </w:r>
      <w:r w:rsidR="004D06B0">
        <w:rPr>
          <w:rFonts w:ascii="DejaVu Serif" w:hAnsi="DejaVu Serif"/>
          <w:sz w:val="22"/>
          <w:szCs w:val="22"/>
        </w:rPr>
        <w:t xml:space="preserve"> ª</w:t>
      </w:r>
      <w:r w:rsidRPr="007945FE">
        <w:rPr>
          <w:rFonts w:ascii="DejaVu Serif" w:hAnsi="DejaVu Serif"/>
          <w:sz w:val="22"/>
          <w:szCs w:val="22"/>
        </w:rPr>
        <w:t xml:space="preserve">. </w:t>
      </w:r>
      <w:r w:rsidR="008E40C3">
        <w:rPr>
          <w:rFonts w:ascii="DejaVu Serif" w:hAnsi="DejaVu Serif"/>
          <w:sz w:val="22"/>
          <w:szCs w:val="22"/>
        </w:rPr>
        <w:t>Cristina Ibarrola Guillén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4D06B0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8E40C3">
        <w:rPr>
          <w:rFonts w:ascii="DejaVu Serif" w:hAnsi="DejaVu Serif"/>
          <w:sz w:val="22"/>
          <w:szCs w:val="22"/>
        </w:rPr>
        <w:t>Navarra Suma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</w:t>
      </w:r>
      <w:r w:rsidRPr="007945FE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ción:</w:t>
      </w:r>
    </w:p>
    <w:p w14:paraId="37CBC27A" w14:textId="77777777" w:rsidR="00941DA2" w:rsidRDefault="008E40C3" w:rsidP="00941DA2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8E40C3">
        <w:rPr>
          <w:rFonts w:ascii="DejaVu Serif" w:hAnsi="DejaVu Serif"/>
          <w:b/>
          <w:sz w:val="22"/>
          <w:szCs w:val="22"/>
        </w:rPr>
        <w:t xml:space="preserve"> El informe de Gestión de la Covid-19 por la Administración de la Comunidad Foral de Navarra (marzo-diciembre 2020) realizado por la Cámara de Comptos concluye que no es posible cuantificar el número de contratos que se llevaron a cabo. </w:t>
      </w:r>
    </w:p>
    <w:p w14:paraId="0D2B3F06" w14:textId="77777777" w:rsidR="00941DA2" w:rsidRDefault="008E40C3" w:rsidP="00941DA2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8E40C3">
        <w:rPr>
          <w:rFonts w:ascii="DejaVu Serif" w:hAnsi="DejaVu Serif"/>
          <w:b/>
          <w:sz w:val="22"/>
          <w:szCs w:val="22"/>
        </w:rPr>
        <w:t>¿Cuál es el número de contratos de personal por perfil profesional y Departamentos que realizó el Gobierno de Navarra en 2020 para hacer frente a la pandemia?</w:t>
      </w:r>
    </w:p>
    <w:p w14:paraId="371663CB" w14:textId="77777777" w:rsidR="00941DA2" w:rsidRDefault="0013100D" w:rsidP="00941DA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A continuación, se muestran datos </w:t>
      </w:r>
      <w:r w:rsidR="000C3CB1" w:rsidRPr="000C3CB1">
        <w:rPr>
          <w:rFonts w:ascii="DejaVu Serif" w:hAnsi="DejaVu Serif"/>
          <w:sz w:val="22"/>
          <w:szCs w:val="22"/>
        </w:rPr>
        <w:t>relacionad</w:t>
      </w:r>
      <w:r>
        <w:rPr>
          <w:rFonts w:ascii="DejaVu Serif" w:hAnsi="DejaVu Serif"/>
          <w:sz w:val="22"/>
          <w:szCs w:val="22"/>
        </w:rPr>
        <w:t>os</w:t>
      </w:r>
      <w:r w:rsidR="000C3CB1" w:rsidRPr="000C3CB1">
        <w:rPr>
          <w:rFonts w:ascii="DejaVu Serif" w:hAnsi="DejaVu Serif"/>
          <w:sz w:val="22"/>
          <w:szCs w:val="22"/>
        </w:rPr>
        <w:t xml:space="preserve"> con contratos y encomienda de funciones a personal temporal que se imputó a gasto COVID en 2020:</w:t>
      </w:r>
    </w:p>
    <w:p w14:paraId="345F6B99" w14:textId="4F1D6E1E" w:rsidR="000C3CB1" w:rsidRPr="000C3CB1" w:rsidRDefault="000C3CB1" w:rsidP="00941DA2">
      <w:pPr>
        <w:pStyle w:val="Default"/>
        <w:numPr>
          <w:ilvl w:val="0"/>
          <w:numId w:val="18"/>
        </w:numPr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0C3CB1">
        <w:rPr>
          <w:rFonts w:ascii="DejaVu Serif" w:hAnsi="DejaVu Serif"/>
          <w:sz w:val="22"/>
          <w:szCs w:val="22"/>
        </w:rPr>
        <w:t>Personal contratado que durante el año 2020 tiene contrato/relación laboral COVID.</w:t>
      </w:r>
    </w:p>
    <w:p w14:paraId="4BAF8E38" w14:textId="77777777" w:rsidR="000C3CB1" w:rsidRDefault="000C3CB1" w:rsidP="00941DA2">
      <w:pPr>
        <w:pStyle w:val="Default"/>
        <w:spacing w:line="276" w:lineRule="auto"/>
        <w:ind w:left="720"/>
        <w:jc w:val="both"/>
        <w:rPr>
          <w:rFonts w:ascii="DejaVu Serif" w:hAnsi="DejaVu Serif"/>
          <w:sz w:val="22"/>
          <w:szCs w:val="22"/>
        </w:rPr>
      </w:pPr>
      <w:r w:rsidRPr="000C3CB1">
        <w:rPr>
          <w:rFonts w:ascii="DejaVu Serif" w:hAnsi="DejaVu Serif"/>
          <w:sz w:val="22"/>
          <w:szCs w:val="22"/>
        </w:rPr>
        <w:t>Puede ocurrir que el contrato se inicia en 2020 o bien se realiza una modificación a un contrato existente para desempeñar labores COVID.</w:t>
      </w:r>
    </w:p>
    <w:p w14:paraId="1F2CED3D" w14:textId="77777777" w:rsidR="00941DA2" w:rsidRDefault="000C3CB1" w:rsidP="00941DA2">
      <w:pPr>
        <w:pStyle w:val="Default"/>
        <w:numPr>
          <w:ilvl w:val="0"/>
          <w:numId w:val="18"/>
        </w:numPr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0C3CB1">
        <w:rPr>
          <w:rFonts w:ascii="DejaVu Serif" w:hAnsi="DejaVu Serif"/>
          <w:sz w:val="22"/>
          <w:szCs w:val="22"/>
        </w:rPr>
        <w:t>Personal contratado en plazas tipo COVID, para sustituir absentismos de personal con contrato COVID, necesidades extraordinarias o ampliaciones de jornada por motivo COVID a otros contratos vigentes.</w:t>
      </w:r>
    </w:p>
    <w:p w14:paraId="27DE9328" w14:textId="77777777" w:rsidR="00941DA2" w:rsidRDefault="000C3CB1" w:rsidP="00941DA2">
      <w:pPr>
        <w:pStyle w:val="Default"/>
        <w:numPr>
          <w:ilvl w:val="0"/>
          <w:numId w:val="18"/>
        </w:numPr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0C3CB1">
        <w:rPr>
          <w:rFonts w:ascii="DejaVu Serif" w:hAnsi="DejaVu Serif"/>
          <w:sz w:val="22"/>
          <w:szCs w:val="22"/>
        </w:rPr>
        <w:t>Encomienda de funciones COVID a personal contratado previamente por otros motivos.</w:t>
      </w:r>
    </w:p>
    <w:p w14:paraId="079CF019" w14:textId="77777777" w:rsidR="00941DA2" w:rsidRDefault="000C3CB1" w:rsidP="00941DA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0C3CB1">
        <w:rPr>
          <w:rFonts w:ascii="DejaVu Serif" w:hAnsi="DejaVu Serif"/>
          <w:sz w:val="22"/>
          <w:szCs w:val="22"/>
        </w:rPr>
        <w:t xml:space="preserve">No se incluye personal funcionario al que se realizó encomienda de funciones o servicios especiales por COVID </w:t>
      </w:r>
    </w:p>
    <w:p w14:paraId="467ECFFF" w14:textId="77777777" w:rsidR="00941DA2" w:rsidRDefault="000C3CB1" w:rsidP="00941DA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0C3CB1">
        <w:rPr>
          <w:rFonts w:ascii="DejaVu Serif" w:hAnsi="DejaVu Serif"/>
          <w:sz w:val="22"/>
          <w:szCs w:val="22"/>
        </w:rPr>
        <w:t xml:space="preserve">Por otra parte, cabe señalar que se han contabilizado tanto los contratos realizados con motivo COVID como las eventuales modificaciones de </w:t>
      </w:r>
      <w:proofErr w:type="gramStart"/>
      <w:r w:rsidRPr="000C3CB1">
        <w:rPr>
          <w:rFonts w:ascii="DejaVu Serif" w:hAnsi="DejaVu Serif"/>
          <w:sz w:val="22"/>
          <w:szCs w:val="22"/>
        </w:rPr>
        <w:t>los mismos</w:t>
      </w:r>
      <w:proofErr w:type="gramEnd"/>
      <w:r w:rsidRPr="000C3CB1">
        <w:rPr>
          <w:rFonts w:ascii="DejaVu Serif" w:hAnsi="DejaVu Serif"/>
          <w:sz w:val="22"/>
          <w:szCs w:val="22"/>
        </w:rPr>
        <w:t xml:space="preserve"> realizadas por diversos motivos (modificaciones de jornada, cambios de unidad entre otras).</w:t>
      </w:r>
    </w:p>
    <w:p w14:paraId="710A5179" w14:textId="6DAE78E5" w:rsidR="00941DA2" w:rsidRDefault="000C3CB1" w:rsidP="00941DA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0C3CB1">
        <w:rPr>
          <w:rFonts w:ascii="DejaVu Serif" w:hAnsi="DejaVu Serif"/>
          <w:sz w:val="22"/>
          <w:szCs w:val="22"/>
        </w:rPr>
        <w:t xml:space="preserve">Además, conviene aclarar que la referencia a una conclusión del informe de la Cámara de Comptos recogida </w:t>
      </w:r>
      <w:r w:rsidR="0013100D">
        <w:rPr>
          <w:rFonts w:ascii="DejaVu Serif" w:hAnsi="DejaVu Serif"/>
          <w:sz w:val="22"/>
          <w:szCs w:val="22"/>
        </w:rPr>
        <w:t xml:space="preserve">en el enunciado </w:t>
      </w:r>
      <w:r w:rsidRPr="000C3CB1">
        <w:rPr>
          <w:rFonts w:ascii="DejaVu Serif" w:hAnsi="DejaVu Serif"/>
          <w:sz w:val="22"/>
          <w:szCs w:val="22"/>
        </w:rPr>
        <w:t xml:space="preserve">no se refiere a los contratos de personal. Dichos contratos de personal aparecen cuantificados en el informe” Gestión de la COVID-19 por la Administración de la Comunidad Foral de Navarra (marzo-diciembre 2020)” en el apartado de IV.1. Cuantificación de los gastos e ingresos referidos a la gestión de la COVID-19, más específicamente en el sub-apartado: Gastos de Personal. </w:t>
      </w:r>
    </w:p>
    <w:p w14:paraId="73AA9319" w14:textId="77777777" w:rsidR="00941DA2" w:rsidRDefault="00941DA2" w:rsidP="00941DA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71DA0DEE" w14:textId="77777777" w:rsidR="00941DA2" w:rsidRDefault="00941DA2" w:rsidP="00941DA2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Pamplona-</w:t>
      </w:r>
      <w:proofErr w:type="spellStart"/>
      <w:r w:rsidRPr="007945FE">
        <w:rPr>
          <w:rFonts w:ascii="DejaVu Serif" w:hAnsi="DejaVu Serif"/>
          <w:sz w:val="22"/>
          <w:szCs w:val="22"/>
        </w:rPr>
        <w:t>Iruñea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, </w:t>
      </w:r>
      <w:r>
        <w:rPr>
          <w:rFonts w:ascii="DejaVu Serif" w:hAnsi="DejaVu Serif"/>
          <w:sz w:val="22"/>
          <w:szCs w:val="22"/>
        </w:rPr>
        <w:t>13 de junio de 2022</w:t>
      </w:r>
    </w:p>
    <w:p w14:paraId="55555A5F" w14:textId="77777777" w:rsidR="00941DA2" w:rsidRDefault="00941DA2" w:rsidP="00941DA2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 xml:space="preserve">El Consejero </w:t>
      </w:r>
      <w:r>
        <w:rPr>
          <w:rFonts w:ascii="DejaVu Serif" w:hAnsi="DejaVu Serif"/>
          <w:sz w:val="22"/>
          <w:szCs w:val="22"/>
        </w:rPr>
        <w:t>d</w:t>
      </w:r>
      <w:r w:rsidRPr="007945FE">
        <w:rPr>
          <w:rFonts w:ascii="DejaVu Serif" w:hAnsi="DejaVu Serif"/>
          <w:sz w:val="22"/>
          <w:szCs w:val="22"/>
        </w:rPr>
        <w:t xml:space="preserve">e Presidencia, Igualdad, Función Pública </w:t>
      </w:r>
      <w:r>
        <w:rPr>
          <w:rFonts w:ascii="DejaVu Serif" w:hAnsi="DejaVu Serif"/>
          <w:sz w:val="22"/>
          <w:szCs w:val="22"/>
        </w:rPr>
        <w:t>e</w:t>
      </w:r>
      <w:r w:rsidRPr="007945FE">
        <w:rPr>
          <w:rFonts w:ascii="DejaVu Serif" w:hAnsi="DejaVu Serif"/>
          <w:sz w:val="22"/>
          <w:szCs w:val="22"/>
        </w:rPr>
        <w:t xml:space="preserve"> Interior</w:t>
      </w:r>
      <w:r>
        <w:rPr>
          <w:rFonts w:ascii="DejaVu Serif" w:hAnsi="DejaVu Serif"/>
          <w:sz w:val="22"/>
          <w:szCs w:val="22"/>
        </w:rPr>
        <w:t xml:space="preserve">: </w:t>
      </w:r>
      <w:r w:rsidRPr="007945FE">
        <w:rPr>
          <w:rFonts w:ascii="DejaVu Serif" w:hAnsi="DejaVu Serif"/>
          <w:sz w:val="22"/>
          <w:szCs w:val="22"/>
        </w:rPr>
        <w:t xml:space="preserve">Javier </w:t>
      </w:r>
      <w:proofErr w:type="spellStart"/>
      <w:r w:rsidRPr="007945FE">
        <w:rPr>
          <w:rFonts w:ascii="DejaVu Serif" w:hAnsi="DejaVu Serif"/>
          <w:sz w:val="22"/>
          <w:szCs w:val="22"/>
        </w:rPr>
        <w:t>Remírez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 </w:t>
      </w:r>
      <w:proofErr w:type="spellStart"/>
      <w:r w:rsidRPr="007945FE">
        <w:rPr>
          <w:rFonts w:ascii="DejaVu Serif" w:hAnsi="DejaVu Serif"/>
          <w:sz w:val="22"/>
          <w:szCs w:val="22"/>
        </w:rPr>
        <w:t>Apesteguía</w:t>
      </w:r>
      <w:proofErr w:type="spellEnd"/>
    </w:p>
    <w:p w14:paraId="5960DA7B" w14:textId="77777777" w:rsidR="00941DA2" w:rsidRDefault="00941DA2" w:rsidP="00941DA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</w:p>
    <w:p w14:paraId="7728D870" w14:textId="77777777" w:rsidR="00941DA2" w:rsidRDefault="00941DA2" w:rsidP="00941DA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  <w:sectPr w:rsidR="00941DA2" w:rsidSect="00941DA2">
          <w:headerReference w:type="default" r:id="rId7"/>
          <w:pgSz w:w="11906" w:h="16838" w:code="9"/>
          <w:pgMar w:top="2835" w:right="1701" w:bottom="1418" w:left="1701" w:header="709" w:footer="709" w:gutter="0"/>
          <w:cols w:space="708"/>
          <w:docGrid w:linePitch="360"/>
        </w:sectPr>
      </w:pPr>
    </w:p>
    <w:p w14:paraId="33E48785" w14:textId="77777777" w:rsidR="00941DA2" w:rsidRDefault="00941DA2" w:rsidP="00941DA2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</w:p>
    <w:p w14:paraId="7E85E816" w14:textId="77777777" w:rsidR="00941DA2" w:rsidRDefault="003323D2" w:rsidP="00941DA2">
      <w:pPr>
        <w:pStyle w:val="Ttulo1"/>
        <w:spacing w:line="276" w:lineRule="auto"/>
        <w:jc w:val="center"/>
        <w:rPr>
          <w:noProof/>
        </w:rPr>
      </w:pPr>
      <w:r w:rsidRPr="00917D8C">
        <w:rPr>
          <w:noProof/>
        </w:rPr>
        <w:pict w14:anchorId="34999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74.7pt;height:222.7pt;visibility:visible">
            <v:imagedata r:id="rId8" o:title=""/>
          </v:shape>
        </w:pict>
      </w:r>
    </w:p>
    <w:p w14:paraId="7225849B" w14:textId="77777777" w:rsidR="00941DA2" w:rsidRDefault="00941DA2" w:rsidP="00941DA2">
      <w:pPr>
        <w:pStyle w:val="Default"/>
        <w:spacing w:line="276" w:lineRule="auto"/>
        <w:jc w:val="both"/>
        <w:rPr>
          <w:noProof/>
        </w:rPr>
      </w:pPr>
    </w:p>
    <w:p w14:paraId="7C354B70" w14:textId="77777777" w:rsidR="00941DA2" w:rsidRDefault="003323D2" w:rsidP="00941DA2">
      <w:pPr>
        <w:pStyle w:val="Default"/>
        <w:spacing w:line="276" w:lineRule="auto"/>
        <w:jc w:val="center"/>
        <w:rPr>
          <w:noProof/>
        </w:rPr>
      </w:pPr>
      <w:r w:rsidRPr="00917D8C">
        <w:rPr>
          <w:noProof/>
        </w:rPr>
        <w:lastRenderedPageBreak/>
        <w:pict w14:anchorId="026E4B4A">
          <v:shape id="_x0000_i1026" type="#_x0000_t75" style="width:444.55pt;height:341.6pt;visibility:visible">
            <v:imagedata r:id="rId9" o:title=""/>
          </v:shape>
        </w:pict>
      </w:r>
    </w:p>
    <w:p w14:paraId="2FA853D6" w14:textId="34A0143E" w:rsidR="000C6890" w:rsidRDefault="000C6890" w:rsidP="00941DA2">
      <w:pPr>
        <w:pStyle w:val="Default"/>
        <w:spacing w:line="276" w:lineRule="auto"/>
        <w:jc w:val="center"/>
        <w:rPr>
          <w:noProof/>
        </w:rPr>
        <w:sectPr w:rsidR="000C6890" w:rsidSect="000C6890">
          <w:pgSz w:w="16838" w:h="11906" w:orient="landscape" w:code="9"/>
          <w:pgMar w:top="1701" w:right="2835" w:bottom="1701" w:left="1418" w:header="709" w:footer="709" w:gutter="0"/>
          <w:cols w:space="708"/>
          <w:docGrid w:linePitch="360"/>
        </w:sectPr>
      </w:pPr>
    </w:p>
    <w:p w14:paraId="245D2ED0" w14:textId="77777777" w:rsidR="00941DA2" w:rsidRDefault="00941DA2" w:rsidP="00941DA2">
      <w:pPr>
        <w:pStyle w:val="Default"/>
        <w:spacing w:line="276" w:lineRule="auto"/>
        <w:jc w:val="center"/>
        <w:rPr>
          <w:noProof/>
        </w:rPr>
      </w:pPr>
    </w:p>
    <w:p w14:paraId="4AF08479" w14:textId="4B4EF3B7" w:rsidR="00402CEC" w:rsidRDefault="000C6890" w:rsidP="00402CEC">
      <w:pPr>
        <w:pStyle w:val="Default"/>
        <w:spacing w:line="276" w:lineRule="auto"/>
        <w:jc w:val="center"/>
        <w:rPr>
          <w:noProof/>
        </w:rPr>
        <w:sectPr w:rsidR="00402CEC" w:rsidSect="000C6890">
          <w:pgSz w:w="16838" w:h="11906" w:orient="landscape" w:code="9"/>
          <w:pgMar w:top="1701" w:right="2835" w:bottom="1701" w:left="1418" w:header="709" w:footer="709" w:gutter="0"/>
          <w:cols w:space="708"/>
          <w:docGrid w:linePitch="360"/>
        </w:sectPr>
      </w:pPr>
      <w:r w:rsidRPr="00917D8C">
        <w:rPr>
          <w:noProof/>
        </w:rPr>
        <w:pict w14:anchorId="5C4B0D2E">
          <v:shape id="_x0000_i1027" type="#_x0000_t75" style="width:577.65pt;height:331.55pt;visibility:visible">
            <v:imagedata r:id="rId10" o:title=""/>
          </v:shape>
        </w:pict>
      </w:r>
    </w:p>
    <w:p w14:paraId="32077D19" w14:textId="77777777" w:rsidR="00941DA2" w:rsidRDefault="00941DA2" w:rsidP="00941DA2">
      <w:pPr>
        <w:pStyle w:val="Default"/>
        <w:spacing w:line="276" w:lineRule="auto"/>
        <w:rPr>
          <w:noProof/>
        </w:rPr>
      </w:pPr>
    </w:p>
    <w:sectPr w:rsidR="00941DA2" w:rsidSect="000C6890">
      <w:pgSz w:w="11906" w:h="16838" w:code="9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7179" w14:textId="77777777" w:rsidR="0026555C" w:rsidRDefault="0026555C" w:rsidP="00C61F02">
      <w:r>
        <w:separator/>
      </w:r>
    </w:p>
  </w:endnote>
  <w:endnote w:type="continuationSeparator" w:id="0">
    <w:p w14:paraId="399C0F9C" w14:textId="77777777" w:rsidR="0026555C" w:rsidRDefault="0026555C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7980" w14:textId="77777777" w:rsidR="0026555C" w:rsidRDefault="0026555C" w:rsidP="00C61F02">
      <w:r>
        <w:separator/>
      </w:r>
    </w:p>
  </w:footnote>
  <w:footnote w:type="continuationSeparator" w:id="0">
    <w:p w14:paraId="756EBD08" w14:textId="77777777" w:rsidR="0026555C" w:rsidRDefault="0026555C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77B6" w14:textId="3F525EE3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0D7"/>
    <w:multiLevelType w:val="hybridMultilevel"/>
    <w:tmpl w:val="A1B40B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3F51"/>
    <w:multiLevelType w:val="hybridMultilevel"/>
    <w:tmpl w:val="AFD4F4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89105">
    <w:abstractNumId w:val="10"/>
  </w:num>
  <w:num w:numId="2" w16cid:durableId="6833664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136070">
    <w:abstractNumId w:val="6"/>
  </w:num>
  <w:num w:numId="4" w16cid:durableId="1490095409">
    <w:abstractNumId w:val="11"/>
  </w:num>
  <w:num w:numId="5" w16cid:durableId="1191918763">
    <w:abstractNumId w:val="4"/>
  </w:num>
  <w:num w:numId="6" w16cid:durableId="1019307493">
    <w:abstractNumId w:val="2"/>
  </w:num>
  <w:num w:numId="7" w16cid:durableId="1563560946">
    <w:abstractNumId w:val="1"/>
  </w:num>
  <w:num w:numId="8" w16cid:durableId="2133090061">
    <w:abstractNumId w:val="9"/>
  </w:num>
  <w:num w:numId="9" w16cid:durableId="869344416">
    <w:abstractNumId w:val="8"/>
  </w:num>
  <w:num w:numId="10" w16cid:durableId="1347251185">
    <w:abstractNumId w:val="14"/>
  </w:num>
  <w:num w:numId="11" w16cid:durableId="15690011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03218383">
    <w:abstractNumId w:val="5"/>
  </w:num>
  <w:num w:numId="13" w16cid:durableId="8097883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9467571">
    <w:abstractNumId w:val="3"/>
  </w:num>
  <w:num w:numId="15" w16cid:durableId="1052341140">
    <w:abstractNumId w:val="7"/>
  </w:num>
  <w:num w:numId="16" w16cid:durableId="872693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955991">
    <w:abstractNumId w:val="0"/>
  </w:num>
  <w:num w:numId="18" w16cid:durableId="893585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3CB1"/>
    <w:rsid w:val="000C4100"/>
    <w:rsid w:val="000C466B"/>
    <w:rsid w:val="000C494F"/>
    <w:rsid w:val="000C4994"/>
    <w:rsid w:val="000C5E77"/>
    <w:rsid w:val="000C64EF"/>
    <w:rsid w:val="000C6736"/>
    <w:rsid w:val="000C6890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00D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55C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3D2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2CEC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A9E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9AE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0C3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4D5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1DA2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748657"/>
  <w15:chartTrackingRefBased/>
  <w15:docId w15:val="{91B5D428-FA6E-46E2-BBFB-31573B55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4</cp:revision>
  <cp:lastPrinted>2022-06-06T09:59:00Z</cp:lastPrinted>
  <dcterms:created xsi:type="dcterms:W3CDTF">2022-06-14T12:04:00Z</dcterms:created>
  <dcterms:modified xsi:type="dcterms:W3CDTF">2022-06-14T12:15:00Z</dcterms:modified>
</cp:coreProperties>
</file>