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505C2" w14:textId="26C86798" w:rsidR="00DC3439" w:rsidRDefault="00DC3439" w:rsidP="00372833">
      <w:pPr>
        <w:pBdr>
          <w:bottom w:val="double" w:sz="6" w:space="0" w:color="auto"/>
        </w:pBdr>
        <w:spacing w:line="288" w:lineRule="auto"/>
        <w:jc w:val="both"/>
        <w:rPr>
          <w:rFonts w:ascii="Arial" w:hAnsi="Arial" w:cs="Arial"/>
        </w:rPr>
      </w:pPr>
      <w:r>
        <w:rPr>
          <w:rFonts w:ascii="Arial" w:hAnsi="Arial"/>
        </w:rPr>
        <w:t xml:space="preserve">Ekainaren 13a</w:t>
      </w:r>
    </w:p>
    <w:p w14:paraId="20E24F78" w14:textId="2B194022" w:rsidR="00DC3439" w:rsidRDefault="00372833" w:rsidP="00372833">
      <w:pPr>
        <w:pBdr>
          <w:bottom w:val="double" w:sz="6" w:space="0" w:color="auto"/>
        </w:pBdr>
        <w:spacing w:line="288" w:lineRule="auto"/>
        <w:jc w:val="both"/>
        <w:rPr>
          <w:rFonts w:ascii="Arial" w:hAnsi="Arial" w:cs="Arial"/>
        </w:rPr>
      </w:pPr>
      <w:r>
        <w:rPr>
          <w:rFonts w:ascii="Arial" w:hAnsi="Arial"/>
        </w:rPr>
        <w:t xml:space="preserve">Navarra Suma talde parlamentarioari atxikitako foru parlamentari Cristina Ibarrola Guillén andreak 10-21-PES-00129 idatzizko galdera aurkeztu du, zeinaren bidez informazioa eskatzen baitu pandemiari aurre egiteko Osasunbidea-Nafarroako Osasun Zerbitzuak erositako osasun alorreko materialari, teknologiari eta norbera babesteko ekipamenduei buruz. Hona Nafarroako Gobernuko Osasuneko kontseilariak ematen dion informazioa:</w:t>
      </w:r>
    </w:p>
    <w:p w14:paraId="5B65B05F" w14:textId="77777777" w:rsidR="00DC3439" w:rsidRDefault="00B65D7E" w:rsidP="00372833">
      <w:pPr>
        <w:pBdr>
          <w:bottom w:val="double" w:sz="6" w:space="0" w:color="auto"/>
        </w:pBdr>
        <w:spacing w:line="288" w:lineRule="auto"/>
        <w:jc w:val="both"/>
        <w:rPr>
          <w:rFonts w:ascii="Arial" w:hAnsi="Arial" w:cs="Arial"/>
        </w:rPr>
      </w:pPr>
      <w:r>
        <w:rPr>
          <w:rFonts w:ascii="Arial" w:hAnsi="Arial"/>
        </w:rPr>
        <w:t xml:space="preserve">Osasun Departamentuak egindako erosketei buruz departamentu honek orain duen informazioari dagokionez, Osasuneko kontseilaria naizen aldetik, hona nire erantzuna:</w:t>
      </w:r>
    </w:p>
    <w:p w14:paraId="21D3BBA6" w14:textId="77777777" w:rsidR="00DC3439" w:rsidRDefault="00895ECD" w:rsidP="00372833">
      <w:pPr>
        <w:pBdr>
          <w:bottom w:val="double" w:sz="6" w:space="0" w:color="auto"/>
        </w:pBdr>
        <w:spacing w:line="288" w:lineRule="auto"/>
        <w:jc w:val="both"/>
        <w:rPr>
          <w:rFonts w:ascii="Arial" w:hAnsi="Arial" w:cs="Arial"/>
        </w:rPr>
      </w:pPr>
      <w:r>
        <w:rPr>
          <w:b/>
          <w:rFonts w:ascii="Arial" w:hAnsi="Arial"/>
        </w:rPr>
        <w:t xml:space="preserve">Ordaindu bai baina iritsi ez zena</w:t>
      </w:r>
      <w:r>
        <w:rPr>
          <w:rFonts w:ascii="Arial" w:hAnsi="Arial"/>
        </w:rPr>
        <w:t xml:space="preserve">:</w:t>
      </w:r>
      <w:r>
        <w:rPr>
          <w:rFonts w:ascii="Arial" w:hAnsi="Arial"/>
        </w:rPr>
        <w:t xml:space="preserve"> </w:t>
      </w:r>
    </w:p>
    <w:p w14:paraId="7598EEA8" w14:textId="77777777" w:rsidR="00DC3439" w:rsidRDefault="00B65D7E" w:rsidP="00372833">
      <w:pPr>
        <w:spacing w:line="288" w:lineRule="auto"/>
        <w:jc w:val="both"/>
        <w:rPr>
          <w:rFonts w:ascii="Arial" w:hAnsi="Arial" w:cs="Arial"/>
        </w:rPr>
      </w:pPr>
      <w:r>
        <w:rPr>
          <w:rFonts w:ascii="Arial" w:hAnsi="Arial"/>
        </w:rPr>
        <w:t xml:space="preserve">Martxoaren 16ko 226/2020 eta 227/2020 ebazpenen bidez 559.020 euroko eta 86.150 euroko gastuak onetsi ziren, bai eta justifikatu beharreko ordainketa-aginduen eskabideak ere, 500.000 maskara kirurgikoren eta 100.000 FFP2 maskararen hornidurarako, hurrenez hurren.</w:t>
      </w:r>
      <w:r>
        <w:rPr>
          <w:rFonts w:ascii="Arial" w:hAnsi="Arial"/>
        </w:rPr>
        <w:t xml:space="preserve"> </w:t>
      </w:r>
      <w:r>
        <w:rPr>
          <w:rFonts w:ascii="Arial" w:hAnsi="Arial"/>
        </w:rPr>
        <w:t xml:space="preserve">Ordainketa Hospital Innova SL enpresari egin zitzaion, aipatu materialaren horniduraren ardura eman baitzitzaion.</w:t>
      </w:r>
    </w:p>
    <w:p w14:paraId="6E040DA7" w14:textId="77777777" w:rsidR="00DC3439" w:rsidRDefault="0053277F" w:rsidP="00372833">
      <w:pPr>
        <w:spacing w:line="288" w:lineRule="auto"/>
        <w:jc w:val="both"/>
        <w:rPr>
          <w:rFonts w:ascii="Arial" w:hAnsi="Arial" w:cs="Arial"/>
        </w:rPr>
      </w:pPr>
      <w:r>
        <w:rPr>
          <w:rFonts w:ascii="Arial" w:hAnsi="Arial"/>
        </w:rPr>
        <w:t xml:space="preserve">Osasun alorreko material horren hornidura egin ezinik, enpresak itzuli egin zituen aipatu diru kopuruak, 1.545.170 euro, guztira.</w:t>
      </w:r>
    </w:p>
    <w:p w14:paraId="2C005E7C" w14:textId="77777777" w:rsidR="00DC3439" w:rsidRDefault="00895ECD" w:rsidP="00372833">
      <w:pPr>
        <w:pStyle w:val="Prrafodelista"/>
        <w:numPr>
          <w:ilvl w:val="0"/>
          <w:numId w:val="7"/>
        </w:numPr>
        <w:spacing w:line="288" w:lineRule="auto"/>
        <w:jc w:val="both"/>
        <w:rPr>
          <w:b/>
          <w:rFonts w:ascii="Arial" w:hAnsi="Arial" w:cs="Arial"/>
        </w:rPr>
      </w:pPr>
      <w:r>
        <w:rPr>
          <w:b/>
          <w:rFonts w:ascii="Arial" w:hAnsi="Arial"/>
        </w:rPr>
        <w:t xml:space="preserve">Iritsi bai baina EE homologaziorik ez zuena</w:t>
      </w:r>
    </w:p>
    <w:p w14:paraId="4D0E9AFD" w14:textId="2C8CAE1D" w:rsidR="00D5740E" w:rsidRPr="00DC3439" w:rsidRDefault="00D5740E" w:rsidP="00372833">
      <w:pPr>
        <w:pStyle w:val="Prrafodelista"/>
        <w:spacing w:line="288" w:lineRule="auto"/>
        <w:ind w:left="0"/>
        <w:jc w:val="both"/>
        <w:rPr>
          <w:b/>
          <w:i/>
          <w:rFonts w:ascii="Arial" w:hAnsi="Arial" w:cs="Arial"/>
        </w:rPr>
      </w:pPr>
      <w:r>
        <w:rPr>
          <w:b/>
          <w:i/>
          <w:rFonts w:ascii="Arial" w:hAnsi="Arial"/>
        </w:rPr>
        <w:t xml:space="preserve">MASKARAK</w:t>
      </w:r>
    </w:p>
    <w:p w14:paraId="1286C6AF" w14:textId="77777777" w:rsidR="00DC3439" w:rsidRDefault="00895ECD" w:rsidP="00372833">
      <w:pPr>
        <w:pStyle w:val="Prrafodelista"/>
        <w:spacing w:line="288" w:lineRule="auto"/>
        <w:ind w:left="0"/>
        <w:jc w:val="both"/>
        <w:rPr>
          <w:rFonts w:ascii="Arial" w:hAnsi="Arial" w:cs="Arial"/>
        </w:rPr>
      </w:pPr>
      <w:r>
        <w:rPr>
          <w:rFonts w:ascii="Arial" w:hAnsi="Arial"/>
        </w:rPr>
        <w:t xml:space="preserve">Merkatu nazionalean arauzko EE markadun NBE materialaren gabezia zegoela eta COVID-19tik babesteko beharrezkoa zela ikusita, Industriarako eta Enpresa Txiki eta Ertainetarako Idazkaritza Nagusiaren 2020ko martxoaren 20ko Ebazpenak, Europako EE markadun NBE maskaren ordezko espezifikazioei buruzkoak, NIOSH_USA eta KN95_China espezifikazioak onartu zituen.</w:t>
      </w:r>
    </w:p>
    <w:p w14:paraId="07B9185F" w14:textId="77777777" w:rsidR="00DC3439" w:rsidRDefault="00F5759E" w:rsidP="00372833">
      <w:pPr>
        <w:pStyle w:val="Prrafodelista"/>
        <w:spacing w:line="288" w:lineRule="auto"/>
        <w:ind w:left="0"/>
        <w:jc w:val="both"/>
        <w:rPr>
          <w:rFonts w:ascii="Arial" w:hAnsi="Arial" w:cs="Arial"/>
        </w:rPr>
      </w:pPr>
      <w:r>
        <w:rPr>
          <w:rFonts w:ascii="Arial" w:hAnsi="Arial"/>
        </w:rPr>
        <w:t xml:space="preserve">Laneko Arriskuen Prebentziorako Zerbitzuak balidatu egiten zituen jasotako maskarak, kasuan kasuko baimenaren baldintzak (EE markarenak edo arestian aipatu espezifikazioenak) betetzen zituztela egiaztatuta.</w:t>
      </w:r>
      <w:r>
        <w:rPr>
          <w:rFonts w:ascii="Arial" w:hAnsi="Arial"/>
        </w:rPr>
        <w:t xml:space="preserve"> </w:t>
      </w:r>
    </w:p>
    <w:p w14:paraId="4690DF81" w14:textId="5780EAB5" w:rsidR="00D5740E" w:rsidRPr="00DC3439" w:rsidRDefault="000B6327" w:rsidP="00372833">
      <w:pPr>
        <w:pStyle w:val="Prrafodelista"/>
        <w:spacing w:line="288" w:lineRule="auto"/>
        <w:ind w:left="0"/>
        <w:jc w:val="both"/>
        <w:rPr>
          <w:b/>
          <w:i/>
          <w:rFonts w:ascii="Arial" w:hAnsi="Arial" w:cs="Arial"/>
        </w:rPr>
      </w:pPr>
      <w:r>
        <w:rPr>
          <w:b/>
          <w:i/>
          <w:rFonts w:ascii="Arial" w:hAnsi="Arial"/>
        </w:rPr>
        <w:t xml:space="preserve">ESKULARRUAK</w:t>
      </w:r>
    </w:p>
    <w:p w14:paraId="0FD8253C" w14:textId="77777777" w:rsidR="00DC3439" w:rsidRDefault="00D5740E" w:rsidP="00372833">
      <w:pPr>
        <w:pStyle w:val="Prrafodelista"/>
        <w:spacing w:line="288" w:lineRule="auto"/>
        <w:ind w:left="0"/>
        <w:jc w:val="both"/>
        <w:rPr>
          <w:rFonts w:ascii="Arial" w:hAnsi="Arial" w:cs="Arial"/>
        </w:rPr>
      </w:pPr>
      <w:r>
        <w:rPr>
          <w:rFonts w:ascii="Arial" w:hAnsi="Arial"/>
        </w:rPr>
        <w:t xml:space="preserve">Jasotako material guztiak EE marka zuen, salbu eta ALBYN MEDICAL enpresari egindako 910.780 euroko eskari batek, 7.006.000 unitateri zegokienak.</w:t>
      </w:r>
      <w:r>
        <w:rPr>
          <w:rFonts w:ascii="Arial" w:hAnsi="Arial"/>
        </w:rPr>
        <w:t xml:space="preserve"> </w:t>
      </w:r>
      <w:r>
        <w:rPr>
          <w:rFonts w:ascii="Arial" w:hAnsi="Arial"/>
        </w:rPr>
        <w:t xml:space="preserve">Hala ere, Laneko Arriskuen Prebentziorako Zerbitzuak balidatu egin zuen eta horrenbestez erabiltzeko egokitzat jo zuen.</w:t>
      </w:r>
    </w:p>
    <w:p w14:paraId="16DA73B1" w14:textId="62E8963A" w:rsidR="00D5740E" w:rsidRPr="00DC3439" w:rsidRDefault="00D5740E" w:rsidP="00372833">
      <w:pPr>
        <w:pStyle w:val="Prrafodelista"/>
        <w:spacing w:line="288" w:lineRule="auto"/>
        <w:ind w:left="0"/>
        <w:jc w:val="both"/>
        <w:rPr>
          <w:b/>
          <w:i/>
          <w:rFonts w:ascii="Arial" w:hAnsi="Arial" w:cs="Arial"/>
        </w:rPr>
      </w:pPr>
      <w:r>
        <w:rPr>
          <w:b/>
          <w:i/>
          <w:rFonts w:ascii="Arial" w:hAnsi="Arial"/>
        </w:rPr>
        <w:t xml:space="preserve">MANTALAK</w:t>
      </w:r>
    </w:p>
    <w:p w14:paraId="4BD6EB7C" w14:textId="77777777" w:rsidR="00DC3439" w:rsidRDefault="009C6667" w:rsidP="00372833">
      <w:pPr>
        <w:pStyle w:val="Prrafodelista"/>
        <w:spacing w:line="288" w:lineRule="auto"/>
        <w:ind w:left="0"/>
        <w:jc w:val="both"/>
        <w:rPr>
          <w:rFonts w:ascii="Arial" w:hAnsi="Arial" w:cs="Arial"/>
        </w:rPr>
      </w:pPr>
      <w:r>
        <w:rPr>
          <w:rFonts w:ascii="Arial" w:hAnsi="Arial"/>
        </w:rPr>
        <w:t xml:space="preserve">Ohiko hornitzaileen mantalak EE markarekin eta osasun alorrean erabiltzeko egiaztagiriekin (osasun produktuaren araudia) iristen ziren.</w:t>
      </w:r>
    </w:p>
    <w:p w14:paraId="760C6D81" w14:textId="77777777" w:rsidR="00DC3439" w:rsidRDefault="009C6667" w:rsidP="00372833">
      <w:pPr>
        <w:pStyle w:val="Prrafodelista"/>
        <w:spacing w:line="288" w:lineRule="auto"/>
        <w:ind w:left="0"/>
        <w:jc w:val="both"/>
        <w:rPr>
          <w:rFonts w:ascii="Arial" w:hAnsi="Arial" w:cs="Arial"/>
        </w:rPr>
      </w:pPr>
      <w:r>
        <w:rPr>
          <w:rFonts w:ascii="Arial" w:hAnsi="Arial"/>
        </w:rPr>
        <w:t xml:space="preserve">Bestelako hornitzaileen mantalak balidatzeko, berriz, aintzat hartzen ziren saiakuntzak, ziurtagiriak, fitxa teknikoa eta hornitzaileak aurkeztutako beste dokumentu batzuk, edo oihalaren portaeraren barne-balorazioa egiten zen, eskuz egindako mantalen kasuan, horrelakoak ere erabili baitziren, mantal komertzialak lortzeko zailtasuna zela-eta, pandemiaren hasieran.</w:t>
      </w:r>
    </w:p>
    <w:p w14:paraId="42FAFF1D" w14:textId="28B2FFCF" w:rsidR="00A3343E" w:rsidRPr="00DC3439" w:rsidRDefault="00A3343E" w:rsidP="00372833">
      <w:pPr>
        <w:pStyle w:val="Prrafodelista"/>
        <w:spacing w:line="288" w:lineRule="auto"/>
        <w:ind w:left="0"/>
        <w:jc w:val="both"/>
        <w:rPr>
          <w:b/>
          <w:i/>
          <w:rFonts w:ascii="Arial" w:hAnsi="Arial" w:cs="Arial"/>
        </w:rPr>
      </w:pPr>
      <w:r>
        <w:rPr>
          <w:b/>
          <w:i/>
          <w:rFonts w:ascii="Arial" w:hAnsi="Arial"/>
        </w:rPr>
        <w:t xml:space="preserve">GAINERAKOAK</w:t>
      </w:r>
    </w:p>
    <w:p w14:paraId="4C264196" w14:textId="77777777" w:rsidR="00DC3439" w:rsidRDefault="005816F3" w:rsidP="00372833">
      <w:pPr>
        <w:pStyle w:val="Prrafodelista"/>
        <w:spacing w:line="288" w:lineRule="auto"/>
        <w:ind w:left="0"/>
        <w:jc w:val="both"/>
        <w:rPr>
          <w:rFonts w:ascii="Arial" w:hAnsi="Arial" w:cs="Arial"/>
        </w:rPr>
      </w:pPr>
      <w:r>
        <w:rPr>
          <w:rFonts w:ascii="Arial" w:hAnsi="Arial"/>
        </w:rPr>
        <w:t xml:space="preserve">Bai gainerako materialek bai teknologiak bazuten EE marka.</w:t>
      </w:r>
    </w:p>
    <w:p w14:paraId="3DFF8972" w14:textId="77777777" w:rsidR="00DC3439" w:rsidRDefault="00895ECD" w:rsidP="00372833">
      <w:pPr>
        <w:pStyle w:val="Prrafodelista"/>
        <w:numPr>
          <w:ilvl w:val="0"/>
          <w:numId w:val="7"/>
        </w:numPr>
        <w:spacing w:line="288" w:lineRule="auto"/>
        <w:ind w:left="0"/>
        <w:jc w:val="both"/>
        <w:rPr>
          <w:b/>
          <w:rFonts w:ascii="Arial" w:hAnsi="Arial" w:cs="Arial"/>
        </w:rPr>
      </w:pPr>
      <w:r>
        <w:rPr>
          <w:b/>
          <w:rFonts w:ascii="Arial" w:hAnsi="Arial"/>
        </w:rPr>
        <w:t xml:space="preserve">Osasun alertaren bat izan duena</w:t>
      </w:r>
    </w:p>
    <w:p w14:paraId="72F2F663" w14:textId="77777777" w:rsidR="00DC3439" w:rsidRDefault="0048081A" w:rsidP="00372833">
      <w:pPr>
        <w:pStyle w:val="Prrafodelista"/>
        <w:spacing w:line="288" w:lineRule="auto"/>
        <w:ind w:left="0"/>
        <w:jc w:val="both"/>
        <w:rPr>
          <w:rFonts w:ascii="Arial" w:hAnsi="Arial" w:cs="Arial"/>
        </w:rPr>
      </w:pPr>
      <w:r>
        <w:rPr>
          <w:rFonts w:ascii="Arial" w:hAnsi="Arial"/>
        </w:rPr>
        <w:t xml:space="preserve">Maskarei buruzko osasun alertak direla-eta, alertapean izandako material guztien zerrenda dakarren fitxategia erantsi da, eta hor adierazten da zein materialek eragin dioten O-NOZi (1. eranskina).</w:t>
      </w:r>
    </w:p>
    <w:p w14:paraId="3DD70414" w14:textId="77777777" w:rsidR="00DC3439" w:rsidRDefault="00B1120F" w:rsidP="00372833">
      <w:pPr>
        <w:pStyle w:val="Prrafodelista"/>
        <w:spacing w:line="288" w:lineRule="auto"/>
        <w:ind w:left="0"/>
        <w:jc w:val="both"/>
        <w:rPr>
          <w:rFonts w:ascii="Arial" w:hAnsi="Arial" w:cs="Arial"/>
        </w:rPr>
      </w:pPr>
      <w:r>
        <w:rPr>
          <w:rFonts w:ascii="Arial" w:hAnsi="Arial"/>
        </w:rPr>
        <w:t xml:space="preserve">Beste fitxategi bat erantsi da aurreko fitxategian adierazitako alertapeko maskarei buruzko informazio zehatzarekin, eta horien kostua azaltzen da (2. eranskina).</w:t>
      </w:r>
    </w:p>
    <w:p w14:paraId="71C0B2AE" w14:textId="77777777" w:rsidR="00DC3439" w:rsidRDefault="009C6667" w:rsidP="00372833">
      <w:pPr>
        <w:pStyle w:val="Prrafodelista"/>
        <w:spacing w:line="288" w:lineRule="auto"/>
        <w:ind w:left="0"/>
        <w:jc w:val="both"/>
        <w:rPr>
          <w:rFonts w:ascii="Arial" w:hAnsi="Arial" w:cs="Arial"/>
        </w:rPr>
      </w:pPr>
      <w:r>
        <w:rPr>
          <w:rFonts w:ascii="Arial" w:hAnsi="Arial"/>
        </w:rPr>
        <w:t xml:space="preserve">Eskularru eta mantalei dagokienez, jasotako eta berrikusitako alertetan ez dugu aurkitu inongo material balidaturi eragiten dionik.</w:t>
      </w:r>
    </w:p>
    <w:p w14:paraId="147BF728" w14:textId="55D1EEBD" w:rsidR="00DC3439" w:rsidRDefault="000B6327" w:rsidP="00372833">
      <w:pPr>
        <w:pStyle w:val="Prrafodelista"/>
        <w:numPr>
          <w:ilvl w:val="0"/>
          <w:numId w:val="7"/>
        </w:numPr>
        <w:spacing w:line="288" w:lineRule="auto"/>
        <w:ind w:left="0"/>
        <w:jc w:val="both"/>
        <w:rPr>
          <w:b/>
          <w:rFonts w:ascii="Arial" w:hAnsi="Arial" w:cs="Arial"/>
        </w:rPr>
      </w:pPr>
      <w:r>
        <w:rPr>
          <w:b/>
          <w:rFonts w:ascii="Arial" w:hAnsi="Arial"/>
        </w:rPr>
        <w:t xml:space="preserve">Erosketa egiteko kalitate irizpideak betetzen ez zituena, deskatalogatuta dagoena edo eskatu zen xederako erabili ezin izan dena.</w:t>
      </w:r>
      <w:r>
        <w:rPr>
          <w:b/>
          <w:rFonts w:ascii="Arial" w:hAnsi="Arial"/>
        </w:rPr>
        <w:t xml:space="preserve"> </w:t>
      </w:r>
    </w:p>
    <w:p w14:paraId="1F0FC811" w14:textId="77777777" w:rsidR="00DC3439" w:rsidRDefault="002B747D" w:rsidP="00372833">
      <w:pPr>
        <w:pStyle w:val="Prrafodelista"/>
        <w:numPr>
          <w:ilvl w:val="0"/>
          <w:numId w:val="8"/>
        </w:numPr>
        <w:spacing w:line="288" w:lineRule="auto"/>
        <w:ind w:left="0"/>
        <w:jc w:val="both"/>
        <w:rPr>
          <w:rFonts w:ascii="Arial" w:hAnsi="Arial" w:cs="Arial"/>
        </w:rPr>
      </w:pPr>
      <w:r>
        <w:rPr>
          <w:b/>
          <w:i/>
          <w:rFonts w:ascii="Arial" w:hAnsi="Arial"/>
        </w:rPr>
        <w:t xml:space="preserve">MASKARAK</w:t>
      </w:r>
      <w:r>
        <w:rPr>
          <w:rFonts w:ascii="Arial" w:hAnsi="Arial"/>
        </w:rPr>
        <w:t xml:space="preserve">:</w:t>
      </w:r>
    </w:p>
    <w:p w14:paraId="78F296D9" w14:textId="77777777" w:rsidR="00DC3439" w:rsidRDefault="00ED5DAD" w:rsidP="00372833">
      <w:pPr>
        <w:spacing w:line="288" w:lineRule="auto"/>
        <w:jc w:val="both"/>
        <w:rPr>
          <w:rFonts w:ascii="Arial" w:hAnsi="Arial" w:cs="Arial"/>
        </w:rPr>
      </w:pPr>
      <w:r>
        <w:rPr>
          <w:rFonts w:ascii="Arial" w:hAnsi="Arial"/>
        </w:rPr>
        <w:t xml:space="preserve">Pandemian zehar, O-NOZen zentroetako biltegietara iturri hauetatik iritsi zen COVID materiala: dohaintzak (enpresenak eta partikularrenak), INGESAren emateak eta bideratutako eskariak.</w:t>
      </w:r>
    </w:p>
    <w:p w14:paraId="35BEFFB0" w14:textId="77777777" w:rsidR="00DC3439" w:rsidRDefault="00ED5DAD" w:rsidP="00372833">
      <w:pPr>
        <w:spacing w:line="288" w:lineRule="auto"/>
        <w:jc w:val="both"/>
        <w:rPr>
          <w:rFonts w:ascii="Arial" w:hAnsi="Arial" w:cs="Arial"/>
        </w:rPr>
      </w:pPr>
      <w:r>
        <w:rPr>
          <w:rFonts w:ascii="Arial" w:hAnsi="Arial"/>
        </w:rPr>
        <w:t xml:space="preserve">Materiala biltegiratzen zenean, erabiltzeko egokia zela egiaztatzen zen, balidaziorako prozedura betez. Laneko Arriskuen Prebentziorako Zerbitzuak, Medikuntza Prebentiboaren Zerbitzuak eta abarrek egiten zuten egiaztapena.</w:t>
      </w:r>
      <w:r>
        <w:rPr>
          <w:rFonts w:ascii="Arial" w:hAnsi="Arial"/>
        </w:rPr>
        <w:t xml:space="preserve"> </w:t>
      </w:r>
    </w:p>
    <w:p w14:paraId="42756051" w14:textId="77777777" w:rsidR="00DC3439" w:rsidRDefault="00ED5DAD" w:rsidP="00372833">
      <w:pPr>
        <w:spacing w:line="288" w:lineRule="auto"/>
        <w:jc w:val="both"/>
        <w:rPr>
          <w:rFonts w:ascii="Arial" w:hAnsi="Arial" w:cs="Arial"/>
        </w:rPr>
      </w:pPr>
      <w:r>
        <w:rPr>
          <w:rFonts w:ascii="Arial" w:hAnsi="Arial"/>
        </w:rPr>
        <w:t xml:space="preserve">Batzuetan dokumentazio gehigarriaren beharra egoten zen balidazioa egiteko, materialak araudi indarduna betetzen zuela egiaztatzeko, bereziki, eta dokumentazio hori eskatzen zitzaien hornitzaileei, INGESAri edo dohaintza-emaileei.</w:t>
      </w:r>
      <w:r>
        <w:rPr>
          <w:rFonts w:ascii="Arial" w:hAnsi="Arial"/>
        </w:rPr>
        <w:t xml:space="preserve"> </w:t>
      </w:r>
      <w:r>
        <w:rPr>
          <w:rFonts w:ascii="Arial" w:hAnsi="Arial"/>
        </w:rPr>
        <w:t xml:space="preserve">Eskatutako dokumentazioa aurkeztu eta balidatutakoan, materiala “erabilgarri” gisa erregistratzen zen SAPen.</w:t>
      </w:r>
      <w:r>
        <w:rPr>
          <w:rFonts w:ascii="Arial" w:hAnsi="Arial"/>
        </w:rPr>
        <w:t xml:space="preserve"> </w:t>
      </w:r>
      <w:r>
        <w:rPr>
          <w:rFonts w:ascii="Arial" w:hAnsi="Arial"/>
        </w:rPr>
        <w:t xml:space="preserve">Aurkeztutako dokumentazioa nahikoa ez zenean, noizbehinka, Laneko Arriskuen Prebentziorako Zerbitzuak saiakuntza egokiak egiteko eskatzen zion AITEXi.</w:t>
      </w:r>
      <w:r>
        <w:rPr>
          <w:rFonts w:ascii="Arial" w:hAnsi="Arial"/>
        </w:rPr>
        <w:t xml:space="preserve"> </w:t>
      </w:r>
    </w:p>
    <w:p w14:paraId="1EB5CBE5" w14:textId="77777777" w:rsidR="00DC3439" w:rsidRDefault="00ED5DAD" w:rsidP="00372833">
      <w:pPr>
        <w:spacing w:line="288" w:lineRule="auto"/>
        <w:jc w:val="both"/>
        <w:rPr>
          <w:rFonts w:ascii="Arial" w:hAnsi="Arial" w:cs="Arial"/>
        </w:rPr>
      </w:pPr>
      <w:r>
        <w:rPr>
          <w:rFonts w:ascii="Arial" w:hAnsi="Arial"/>
        </w:rPr>
        <w:t xml:space="preserve">Emaitza positiboa zenean, materiala “erabilgarri” gisa erregistratzen zen SAPen.</w:t>
      </w:r>
      <w:r>
        <w:rPr>
          <w:rFonts w:ascii="Arial" w:hAnsi="Arial"/>
        </w:rPr>
        <w:t xml:space="preserve"> </w:t>
      </w:r>
      <w:r>
        <w:rPr>
          <w:rFonts w:ascii="Arial" w:hAnsi="Arial"/>
        </w:rPr>
        <w:t xml:space="preserve">Inoiz, </w:t>
      </w:r>
      <w:r>
        <w:rPr>
          <w:u w:val="single"/>
          <w:rFonts w:ascii="Arial" w:hAnsi="Arial"/>
        </w:rPr>
        <w:t xml:space="preserve">maskara kirurgiko</w:t>
      </w:r>
      <w:r>
        <w:rPr>
          <w:rFonts w:ascii="Arial" w:hAnsi="Arial"/>
        </w:rPr>
        <w:t xml:space="preserve"> baten analisiaren emaitza izaten zen “ez du balio maskara kirurgiko gisa, balio du osasun eremutik eta eremu soziosanitariotik kanpo erabiltzeko eta ospitaleratu gabeko pazienteek erabiltzeko, balio du biztanleria orokorrerako, eta abar…”; edo </w:t>
      </w:r>
      <w:r>
        <w:rPr>
          <w:u w:val="single"/>
          <w:rFonts w:ascii="Arial" w:hAnsi="Arial"/>
        </w:rPr>
        <w:t xml:space="preserve">FFP2 maskara</w:t>
      </w:r>
      <w:r>
        <w:rPr>
          <w:rFonts w:ascii="Arial" w:hAnsi="Arial"/>
        </w:rPr>
        <w:t xml:space="preserve"> baten analisiaren emaitza: “ez du balio FFP2 gisa, erabil liteke maskara kirurgiko edo FFP1 gisa, aerosolak sortzen dituzten teknikak erabiltzen ez dituzten zentroetan banatzea gomendatzen da”.</w:t>
      </w:r>
      <w:r>
        <w:rPr>
          <w:rFonts w:ascii="Arial" w:hAnsi="Arial"/>
        </w:rPr>
        <w:t xml:space="preserve"> </w:t>
      </w:r>
      <w:r>
        <w:rPr>
          <w:rFonts w:ascii="Arial" w:hAnsi="Arial"/>
        </w:rPr>
        <w:t xml:space="preserve">Halakoak “kalitate-kontrolean” edo “blokeatuta” erregistratzen ziren SAPen, eta material horietarako erabilerak erabakitzen joan ziren.</w:t>
      </w:r>
    </w:p>
    <w:p w14:paraId="40D56D1E" w14:textId="77777777" w:rsidR="00DC3439" w:rsidRDefault="00ED5DAD" w:rsidP="00372833">
      <w:pPr>
        <w:spacing w:line="288" w:lineRule="auto"/>
        <w:jc w:val="both"/>
        <w:rPr>
          <w:rFonts w:ascii="Arial" w:hAnsi="Arial" w:cs="Arial"/>
        </w:rPr>
      </w:pPr>
      <w:r>
        <w:rPr>
          <w:rFonts w:ascii="Arial" w:hAnsi="Arial"/>
        </w:rPr>
        <w:t xml:space="preserve">O-NOZeko biltegietako material-irteerak:</w:t>
      </w:r>
    </w:p>
    <w:p w14:paraId="40D8CB53" w14:textId="3F5BD3B4" w:rsidR="00ED5DAD" w:rsidRPr="00DC3439" w:rsidRDefault="00ED5DAD" w:rsidP="00372833">
      <w:pPr>
        <w:pStyle w:val="Prrafodelista"/>
        <w:numPr>
          <w:ilvl w:val="0"/>
          <w:numId w:val="8"/>
        </w:numPr>
        <w:spacing w:line="288" w:lineRule="auto"/>
        <w:ind w:left="0"/>
        <w:jc w:val="both"/>
        <w:rPr>
          <w:rFonts w:ascii="Arial" w:hAnsi="Arial" w:cs="Arial"/>
        </w:rPr>
      </w:pPr>
      <w:r>
        <w:rPr>
          <w:rFonts w:ascii="Arial" w:hAnsi="Arial"/>
        </w:rPr>
        <w:t xml:space="preserve">Itzulketak (ahal zenean, itzulketa SAP-MMn erregistratzen zen, eskariak aldatuz/deuseztatuz). </w:t>
      </w:r>
      <w:r>
        <w:rPr>
          <w:rFonts w:ascii="Arial" w:hAnsi="Arial"/>
        </w:rPr>
        <w:t xml:space="preserve"> </w:t>
      </w:r>
      <w:r>
        <w:rPr>
          <w:rFonts w:ascii="Arial" w:hAnsi="Arial"/>
        </w:rPr>
        <w:t xml:space="preserve">Ez zen beti posible izaten itzulketak egitea INGESAri, dohaintza-emaileei eta abarri.</w:t>
      </w:r>
    </w:p>
    <w:p w14:paraId="57FD0458" w14:textId="21882B72" w:rsidR="00C05477" w:rsidRPr="00DC3439" w:rsidRDefault="00ED5DAD" w:rsidP="00C05477">
      <w:pPr>
        <w:pStyle w:val="Prrafodelista"/>
        <w:numPr>
          <w:ilvl w:val="0"/>
          <w:numId w:val="8"/>
        </w:numPr>
        <w:spacing w:line="288" w:lineRule="auto"/>
        <w:ind w:left="0"/>
        <w:jc w:val="both"/>
        <w:rPr>
          <w:rFonts w:ascii="Arial" w:hAnsi="Arial" w:cs="Arial"/>
        </w:rPr>
      </w:pPr>
      <w:r>
        <w:rPr>
          <w:rFonts w:ascii="Arial" w:hAnsi="Arial"/>
        </w:rPr>
        <w:t xml:space="preserve">O-NOZen beraren kostu-zentroetara (zerbitzuak/unitateak): administrazio bulegoetara, Laneko Arriskuen Prebentziorako Zerbitzura, NBEak erabiltzeko prestakuntza ekintzetan erabili zitezen, etab.</w:t>
      </w:r>
    </w:p>
    <w:p w14:paraId="209C91F7" w14:textId="77777777" w:rsidR="00C05477" w:rsidRPr="00DC3439" w:rsidRDefault="00C05477" w:rsidP="00C05477">
      <w:pPr>
        <w:pStyle w:val="Prrafodelista"/>
        <w:numPr>
          <w:ilvl w:val="0"/>
          <w:numId w:val="8"/>
        </w:numPr>
        <w:spacing w:line="288" w:lineRule="auto"/>
        <w:ind w:left="0"/>
        <w:jc w:val="both"/>
        <w:rPr>
          <w:rFonts w:ascii="Arial" w:hAnsi="Arial" w:cs="Arial"/>
        </w:rPr>
      </w:pPr>
      <w:r>
        <w:rPr>
          <w:rFonts w:ascii="Arial" w:hAnsi="Arial"/>
        </w:rPr>
        <w:t xml:space="preserve">Emateak Nafarcori: Farmazialarien Elkargoarekin sinatutako hitzarmena betetzeko.</w:t>
      </w:r>
      <w:r>
        <w:rPr>
          <w:rFonts w:ascii="Arial" w:hAnsi="Arial"/>
        </w:rPr>
        <w:t xml:space="preserve"> </w:t>
      </w:r>
      <w:r>
        <w:rPr>
          <w:rFonts w:ascii="Arial" w:hAnsi="Arial"/>
        </w:rPr>
        <w:t xml:space="preserve">Ikusi 1. taula.</w:t>
      </w:r>
    </w:p>
    <w:p w14:paraId="31987D15" w14:textId="77777777" w:rsidR="00C05477" w:rsidRPr="00DC3439" w:rsidRDefault="00C05477" w:rsidP="00C05477">
      <w:pPr>
        <w:pStyle w:val="Prrafodelista"/>
        <w:numPr>
          <w:ilvl w:val="0"/>
          <w:numId w:val="8"/>
        </w:numPr>
        <w:spacing w:line="288" w:lineRule="auto"/>
        <w:ind w:left="0"/>
        <w:jc w:val="both"/>
        <w:rPr>
          <w:rFonts w:ascii="Arial" w:hAnsi="Arial" w:cs="Arial"/>
        </w:rPr>
      </w:pPr>
      <w:r>
        <w:rPr>
          <w:rFonts w:ascii="Arial" w:hAnsi="Arial"/>
        </w:rPr>
        <w:t xml:space="preserve">Dohaintzetara: egoki erabiltzeko, betekizun teknikoen arabera.</w:t>
      </w:r>
      <w:r>
        <w:rPr>
          <w:rFonts w:ascii="Arial" w:hAnsi="Arial"/>
        </w:rPr>
        <w:t xml:space="preserve"> </w:t>
      </w:r>
      <w:r>
        <w:rPr>
          <w:rFonts w:ascii="Arial" w:hAnsi="Arial"/>
        </w:rPr>
        <w:t xml:space="preserve">Ikusi 2. taula.</w:t>
      </w:r>
    </w:p>
    <w:p w14:paraId="42036BFD" w14:textId="02BE205D" w:rsidR="00ED5DAD" w:rsidRPr="00DC3439" w:rsidRDefault="00ED5DAD" w:rsidP="00372833">
      <w:pPr>
        <w:pStyle w:val="Prrafodelista"/>
        <w:numPr>
          <w:ilvl w:val="0"/>
          <w:numId w:val="8"/>
        </w:numPr>
        <w:spacing w:line="288" w:lineRule="auto"/>
        <w:ind w:left="0"/>
        <w:jc w:val="both"/>
        <w:rPr>
          <w:rFonts w:ascii="Arial" w:hAnsi="Arial" w:cs="Arial"/>
        </w:rPr>
      </w:pPr>
      <w:r>
        <w:rPr>
          <w:rFonts w:ascii="Arial" w:hAnsi="Arial"/>
        </w:rPr>
        <w:t xml:space="preserve">SAP-MMn “baztertu” gisa erregistratzen ziren.</w:t>
      </w:r>
      <w:r>
        <w:rPr>
          <w:rFonts w:ascii="Arial" w:hAnsi="Arial"/>
        </w:rPr>
        <w:t xml:space="preserve"> </w:t>
      </w:r>
      <w:r>
        <w:rPr>
          <w:rFonts w:ascii="Arial" w:hAnsi="Arial"/>
        </w:rPr>
        <w:t xml:space="preserve">Batzuetan, materiala aztertzean egiaztatzen zen iraungitze data iragana zela edota materiala oso egoera txarrean zegoela (bilgarriak apurtuta, bustita, etab.). Ikusi 3. taula</w:t>
      </w:r>
      <w:r>
        <w:rPr>
          <w:color w:val="FF0000"/>
          <w:rFonts w:ascii="Arial" w:hAnsi="Arial"/>
        </w:rPr>
        <w:t xml:space="preserve">.</w:t>
      </w:r>
    </w:p>
    <w:p w14:paraId="26F5FBE9" w14:textId="77777777" w:rsidR="00DC3439" w:rsidRDefault="00ED5DAD" w:rsidP="00372833">
      <w:pPr>
        <w:pStyle w:val="Prrafodelista"/>
        <w:numPr>
          <w:ilvl w:val="0"/>
          <w:numId w:val="8"/>
        </w:numPr>
        <w:spacing w:line="288" w:lineRule="auto"/>
        <w:ind w:left="0"/>
        <w:jc w:val="both"/>
        <w:rPr>
          <w:rFonts w:ascii="Arial" w:hAnsi="Arial" w:cs="Arial"/>
        </w:rPr>
      </w:pPr>
      <w:r>
        <w:rPr>
          <w:rFonts w:ascii="Arial" w:hAnsi="Arial"/>
        </w:rPr>
        <w:t xml:space="preserve">Biltegian oraindik (atera gabe), honela identifikaturik: Blokeatuta / Kalitate-kontrolean. </w:t>
      </w:r>
      <w:r>
        <w:rPr>
          <w:rFonts w:ascii="Arial" w:hAnsi="Arial"/>
        </w:rPr>
        <w:t xml:space="preserve"> </w:t>
      </w:r>
      <w:r>
        <w:rPr>
          <w:rFonts w:ascii="Arial" w:hAnsi="Arial"/>
        </w:rPr>
        <w:t xml:space="preserve">Ikusi 4. taula.</w:t>
      </w:r>
    </w:p>
    <w:p w14:paraId="26AC6B03" w14:textId="0893BE3E" w:rsidR="00ED5DAD" w:rsidRPr="00DC3439" w:rsidRDefault="00ED5DAD" w:rsidP="00372833">
      <w:pPr>
        <w:spacing w:line="288" w:lineRule="auto"/>
        <w:jc w:val="both"/>
        <w:rPr>
          <w:color w:val="FF0000"/>
          <w:rFonts w:ascii="Arial" w:hAnsi="Arial" w:cs="Arial"/>
        </w:rPr>
      </w:pPr>
      <w:r>
        <w:rPr>
          <w:rFonts w:ascii="Arial" w:hAnsi="Arial"/>
        </w:rPr>
        <w:t xml:space="preserve">NAFARCO (1. taula):</w:t>
      </w:r>
      <w:r>
        <w:rPr>
          <w:rFonts w:ascii="Arial" w:hAnsi="Arial"/>
        </w:rPr>
        <w:t xml:space="preserve"> </w:t>
      </w:r>
    </w:p>
    <w:p w14:paraId="043D04B0" w14:textId="77777777" w:rsidR="00DC3439" w:rsidRDefault="00C123F5" w:rsidP="00372833">
      <w:pPr>
        <w:spacing w:line="288" w:lineRule="auto"/>
        <w:ind w:left="-567"/>
        <w:jc w:val="both"/>
        <w:rPr>
          <w:rFonts w:ascii="Arial" w:hAnsi="Arial" w:cs="Arial"/>
        </w:rPr>
      </w:pPr>
      <w:r>
        <w:rPr>
          <w:rFonts w:ascii="Arial" w:hAnsi="Arial"/>
        </w:rPr>
        <w:drawing>
          <wp:inline distT="0" distB="0" distL="0" distR="0" wp14:anchorId="549DA4FC" wp14:editId="3ECF29D2">
            <wp:extent cx="7082370" cy="1819275"/>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87946" cy="1820707"/>
                    </a:xfrm>
                    <a:prstGeom prst="rect">
                      <a:avLst/>
                    </a:prstGeom>
                    <a:noFill/>
                    <a:ln>
                      <a:noFill/>
                    </a:ln>
                  </pic:spPr>
                </pic:pic>
              </a:graphicData>
            </a:graphic>
          </wp:inline>
        </w:drawing>
      </w:r>
    </w:p>
    <w:p w14:paraId="251AE865" w14:textId="45CDD3A4" w:rsidR="00ED5DAD" w:rsidRPr="00DC3439" w:rsidRDefault="00ED5DAD" w:rsidP="00372833">
      <w:pPr>
        <w:spacing w:line="288" w:lineRule="auto"/>
        <w:jc w:val="both"/>
        <w:rPr>
          <w:color w:val="FF0000"/>
          <w:rFonts w:ascii="Arial" w:hAnsi="Arial" w:cs="Arial"/>
        </w:rPr>
      </w:pPr>
      <w:r>
        <w:rPr>
          <w:rFonts w:ascii="Arial" w:hAnsi="Arial"/>
        </w:rPr>
        <w:t xml:space="preserve">DOHAINTZAK (2. taula):</w:t>
      </w:r>
    </w:p>
    <w:p w14:paraId="0AA2FDA9" w14:textId="77777777" w:rsidR="00DC3439" w:rsidRDefault="00C123F5" w:rsidP="00372833">
      <w:pPr>
        <w:spacing w:line="288" w:lineRule="auto"/>
        <w:ind w:left="-567"/>
        <w:jc w:val="both"/>
        <w:rPr>
          <w:rFonts w:ascii="Arial" w:hAnsi="Arial" w:cs="Arial"/>
        </w:rPr>
      </w:pPr>
      <w:r>
        <w:rPr>
          <w:rFonts w:ascii="Arial" w:hAnsi="Arial"/>
        </w:rPr>
        <w:drawing>
          <wp:inline distT="0" distB="0" distL="0" distR="0" wp14:anchorId="2C8421B3" wp14:editId="640DA3A5">
            <wp:extent cx="7132859" cy="19621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1022" cy="1964395"/>
                    </a:xfrm>
                    <a:prstGeom prst="rect">
                      <a:avLst/>
                    </a:prstGeom>
                    <a:noFill/>
                    <a:ln>
                      <a:noFill/>
                    </a:ln>
                  </pic:spPr>
                </pic:pic>
              </a:graphicData>
            </a:graphic>
          </wp:inline>
        </w:drawing>
      </w:r>
    </w:p>
    <w:p w14:paraId="04585B91" w14:textId="5690C358" w:rsidR="00DC3439" w:rsidRDefault="00DC3439" w:rsidP="00372833">
      <w:pPr>
        <w:spacing w:after="160" w:line="288" w:lineRule="auto"/>
        <w:jc w:val="both"/>
        <w:rPr>
          <w:rFonts w:ascii="Arial" w:hAnsi="Arial" w:cs="Arial"/>
          <w:lang w:val="es-ES_tradnl"/>
        </w:rPr>
      </w:pPr>
    </w:p>
    <w:p w14:paraId="005B5935" w14:textId="77777777" w:rsidR="00F00A62" w:rsidRDefault="00F00A62" w:rsidP="00372833">
      <w:pPr>
        <w:spacing w:line="288" w:lineRule="auto"/>
        <w:jc w:val="both"/>
        <w:rPr>
          <w:rFonts w:ascii="Arial" w:hAnsi="Arial" w:cs="Arial"/>
          <w:lang w:val="es-ES_tradnl"/>
        </w:rPr>
      </w:pPr>
    </w:p>
    <w:p w14:paraId="5FBA6AC4" w14:textId="77777777" w:rsidR="00F00A62" w:rsidRDefault="00F00A62" w:rsidP="00372833">
      <w:pPr>
        <w:spacing w:line="288" w:lineRule="auto"/>
        <w:jc w:val="both"/>
        <w:rPr>
          <w:rFonts w:ascii="Arial" w:hAnsi="Arial" w:cs="Arial"/>
        </w:rPr>
      </w:pPr>
      <w:r>
        <w:br w:type="page"/>
      </w:r>
    </w:p>
    <w:p w14:paraId="503223A0" w14:textId="53A0ED3F" w:rsidR="00ED5DAD" w:rsidRPr="00DC3439" w:rsidRDefault="00ED5DAD" w:rsidP="00372833">
      <w:pPr>
        <w:spacing w:line="288" w:lineRule="auto"/>
        <w:jc w:val="both"/>
        <w:rPr>
          <w:color w:val="FF0000"/>
          <w:rFonts w:ascii="Arial" w:hAnsi="Arial" w:cs="Arial"/>
        </w:rPr>
      </w:pPr>
      <w:r>
        <w:rPr>
          <w:rFonts w:ascii="Arial" w:hAnsi="Arial"/>
        </w:rPr>
        <w:t xml:space="preserve">BAZTERTUAK (3. taula):</w:t>
      </w:r>
    </w:p>
    <w:p w14:paraId="1EF25643" w14:textId="77777777" w:rsidR="00DC3439" w:rsidRDefault="007F4391" w:rsidP="00372833">
      <w:pPr>
        <w:spacing w:line="288" w:lineRule="auto"/>
        <w:ind w:left="-567"/>
        <w:jc w:val="both"/>
        <w:rPr>
          <w:rFonts w:ascii="Arial" w:hAnsi="Arial" w:cs="Arial"/>
        </w:rPr>
      </w:pPr>
      <w:r>
        <w:rPr>
          <w:rFonts w:ascii="Arial" w:hAnsi="Arial"/>
        </w:rPr>
        <w:drawing>
          <wp:inline distT="0" distB="0" distL="0" distR="0" wp14:anchorId="7A4BE60D" wp14:editId="4CC57D41">
            <wp:extent cx="7015637" cy="31432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25974" cy="3147881"/>
                    </a:xfrm>
                    <a:prstGeom prst="rect">
                      <a:avLst/>
                    </a:prstGeom>
                    <a:noFill/>
                    <a:ln>
                      <a:noFill/>
                    </a:ln>
                  </pic:spPr>
                </pic:pic>
              </a:graphicData>
            </a:graphic>
          </wp:inline>
        </w:drawing>
      </w:r>
    </w:p>
    <w:p w14:paraId="312C86C2" w14:textId="4CBD8DB6" w:rsidR="00ED5DAD" w:rsidRPr="00DC3439" w:rsidRDefault="00ED5DAD" w:rsidP="00372833">
      <w:pPr>
        <w:spacing w:line="288" w:lineRule="auto"/>
        <w:jc w:val="both"/>
        <w:rPr>
          <w:color w:val="FF0000"/>
          <w:rFonts w:ascii="Arial" w:hAnsi="Arial" w:cs="Arial"/>
        </w:rPr>
      </w:pPr>
      <w:r>
        <w:rPr>
          <w:rFonts w:ascii="Arial" w:hAnsi="Arial"/>
        </w:rPr>
        <w:t xml:space="preserve">STOCKA BILTEGIAN (ATERA GABE) (4. taula):</w:t>
      </w:r>
    </w:p>
    <w:p w14:paraId="33AD622D" w14:textId="77777777" w:rsidR="00DC3439" w:rsidRDefault="00ED5DAD" w:rsidP="00372833">
      <w:pPr>
        <w:spacing w:line="288" w:lineRule="auto"/>
        <w:ind w:left="-567"/>
        <w:jc w:val="both"/>
        <w:rPr>
          <w:rFonts w:ascii="Arial" w:hAnsi="Arial" w:cs="Arial"/>
        </w:rPr>
      </w:pPr>
      <w:r>
        <w:rPr>
          <w:rFonts w:ascii="Arial" w:hAnsi="Arial"/>
        </w:rPr>
        <w:drawing>
          <wp:inline distT="0" distB="0" distL="0" distR="0" wp14:anchorId="4F62FC41" wp14:editId="23743B0F">
            <wp:extent cx="7037958" cy="10287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050499" cy="1030533"/>
                    </a:xfrm>
                    <a:prstGeom prst="rect">
                      <a:avLst/>
                    </a:prstGeom>
                  </pic:spPr>
                </pic:pic>
              </a:graphicData>
            </a:graphic>
          </wp:inline>
        </w:drawing>
      </w:r>
    </w:p>
    <w:p w14:paraId="6B639599" w14:textId="4B79FA67" w:rsidR="00DC3439" w:rsidRDefault="00372833" w:rsidP="00372833">
      <w:pPr>
        <w:tabs>
          <w:tab w:val="left" w:pos="720"/>
        </w:tabs>
        <w:spacing w:line="288" w:lineRule="auto"/>
        <w:jc w:val="both"/>
        <w:rPr>
          <w:rFonts w:ascii="Arial" w:eastAsiaTheme="minorHAnsi" w:hAnsi="Arial" w:cs="Arial"/>
        </w:rPr>
      </w:pPr>
      <w:r>
        <w:rPr>
          <w:rFonts w:ascii="Arial" w:hAnsi="Arial"/>
        </w:rPr>
        <w:t xml:space="preserve">Hori guztia jakinarazten dut, Nafarroako Parlamentuko Erregelamenduaren 194. artikulua betez.</w:t>
      </w:r>
    </w:p>
    <w:p w14:paraId="4CA591A1" w14:textId="77777777" w:rsidR="00DC3439" w:rsidRDefault="00372833" w:rsidP="00372833">
      <w:pPr>
        <w:tabs>
          <w:tab w:val="left" w:pos="3780"/>
        </w:tabs>
        <w:spacing w:line="288" w:lineRule="auto"/>
        <w:jc w:val="center"/>
        <w:rPr>
          <w:rFonts w:ascii="Arial" w:eastAsiaTheme="minorHAnsi" w:hAnsi="Arial" w:cs="Arial"/>
        </w:rPr>
      </w:pPr>
      <w:r>
        <w:rPr>
          <w:rFonts w:ascii="Arial" w:hAnsi="Arial"/>
        </w:rPr>
        <w:t xml:space="preserve">Iruñean, 2022ko ekainaren 10ean</w:t>
      </w:r>
    </w:p>
    <w:p w14:paraId="0D06224F" w14:textId="2145C392" w:rsidR="00DC3439" w:rsidRPr="008A3456" w:rsidRDefault="008A3456" w:rsidP="008A3456">
      <w:pPr>
        <w:spacing w:line="288" w:lineRule="auto"/>
        <w:ind w:left="567" w:right="567"/>
        <w:jc w:val="center"/>
        <w:outlineLvl w:val="0"/>
        <w:rPr>
          <w:rFonts w:ascii="Arial" w:eastAsiaTheme="minorHAnsi" w:hAnsi="Arial" w:cs="Arial"/>
        </w:rPr>
      </w:pPr>
      <w:r>
        <w:rPr>
          <w:rFonts w:ascii="Arial" w:hAnsi="Arial"/>
        </w:rPr>
        <w:t xml:space="preserve">Osasuneko kontseilaria:</w:t>
      </w:r>
      <w:r>
        <w:rPr>
          <w:rFonts w:ascii="Arial" w:hAnsi="Arial"/>
        </w:rPr>
        <w:t xml:space="preserve"> </w:t>
      </w:r>
      <w:r>
        <w:rPr>
          <w:rFonts w:ascii="Arial" w:hAnsi="Arial"/>
        </w:rPr>
        <w:t xml:space="preserve">Santos Induráin Orduna</w:t>
      </w:r>
    </w:p>
    <w:p w14:paraId="31B21925" w14:textId="77777777" w:rsidR="00F00A62" w:rsidRPr="00F00A62" w:rsidRDefault="00F00A62" w:rsidP="00F00A62">
      <w:pPr>
        <w:rPr>
          <w:rFonts w:ascii="Times New (W1)" w:hAnsi="Times New (W1)"/>
        </w:rPr>
      </w:pPr>
      <w:r>
        <w:rPr>
          <w:rFonts w:ascii="Times New (W1)" w:hAnsi="Times New (W1)"/>
        </w:rPr>
        <w:t xml:space="preserve">(Oharra:</w:t>
      </w:r>
      <w:r>
        <w:rPr>
          <w:rFonts w:ascii="Times New (W1)" w:hAnsi="Times New (W1)"/>
        </w:rPr>
        <w:t xml:space="preserve"> </w:t>
      </w:r>
      <w:r>
        <w:t xml:space="preserve">aipatu eranskina foru parlamentarien eskura dago </w:t>
      </w:r>
      <w:r>
        <w:rPr>
          <w:rFonts w:ascii="Times New (W1)" w:hAnsi="Times New (W1)"/>
        </w:rPr>
        <w:t xml:space="preserve">kudeaketa parlamentarioko Ágora sisteman).</w:t>
      </w:r>
    </w:p>
    <w:p w14:paraId="187B689A" w14:textId="77777777" w:rsidR="00F00A62" w:rsidRPr="00F00A62" w:rsidRDefault="00F00A62" w:rsidP="00F00A62"/>
    <w:p w14:paraId="3AC5E2E1" w14:textId="29E9E515" w:rsidR="00372833" w:rsidRPr="00DC3439" w:rsidRDefault="00372833" w:rsidP="00372833">
      <w:pPr>
        <w:spacing w:line="288" w:lineRule="auto"/>
        <w:ind w:left="-567"/>
        <w:jc w:val="both"/>
        <w:rPr>
          <w:rFonts w:ascii="Arial" w:hAnsi="Arial" w:cs="Arial"/>
          <w:lang w:val="es-ES_tradnl"/>
        </w:rPr>
      </w:pPr>
    </w:p>
    <w:sectPr w:rsidR="00372833" w:rsidRPr="00DC3439" w:rsidSect="00ED5DAD">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64B14" w14:textId="77777777" w:rsidR="007176BF" w:rsidRDefault="007176BF" w:rsidP="005B08F3">
      <w:r>
        <w:separator/>
      </w:r>
    </w:p>
  </w:endnote>
  <w:endnote w:type="continuationSeparator" w:id="0">
    <w:p w14:paraId="20415C5A" w14:textId="77777777" w:rsidR="007176BF" w:rsidRDefault="007176BF" w:rsidP="005B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A6213" w14:textId="77777777" w:rsidR="007176BF" w:rsidRDefault="007176BF" w:rsidP="005B08F3">
      <w:r>
        <w:separator/>
      </w:r>
    </w:p>
  </w:footnote>
  <w:footnote w:type="continuationSeparator" w:id="0">
    <w:p w14:paraId="7AA73CBC" w14:textId="77777777" w:rsidR="007176BF" w:rsidRDefault="007176BF" w:rsidP="005B0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B4D1B"/>
    <w:multiLevelType w:val="hybridMultilevel"/>
    <w:tmpl w:val="8FFE73BE"/>
    <w:lvl w:ilvl="0" w:tplc="5BB23034">
      <w:start w:val="1"/>
      <w:numFmt w:val="lowerLetter"/>
      <w:lvlText w:val="%1)"/>
      <w:lvlJc w:val="left"/>
      <w:pPr>
        <w:ind w:left="720" w:hanging="360"/>
      </w:pPr>
      <w:rPr>
        <w:rFonts w:asciiTheme="minorHAnsi" w:hAnsiTheme="minorHAnsi" w:cstheme="minorHAns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C635926"/>
    <w:multiLevelType w:val="hybridMultilevel"/>
    <w:tmpl w:val="4482A602"/>
    <w:lvl w:ilvl="0" w:tplc="47F841A2">
      <w:start w:val="1"/>
      <w:numFmt w:val="bullet"/>
      <w:pStyle w:val="Estilo1"/>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7717704"/>
    <w:multiLevelType w:val="hybridMultilevel"/>
    <w:tmpl w:val="755E01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CAC6AF8"/>
    <w:multiLevelType w:val="hybridMultilevel"/>
    <w:tmpl w:val="572CA5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DC80138"/>
    <w:multiLevelType w:val="multilevel"/>
    <w:tmpl w:val="DB70D4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6837762"/>
    <w:multiLevelType w:val="hybridMultilevel"/>
    <w:tmpl w:val="4AD42A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E6263A7"/>
    <w:multiLevelType w:val="hybridMultilevel"/>
    <w:tmpl w:val="BF5EFC44"/>
    <w:lvl w:ilvl="0" w:tplc="AC024A96">
      <w:start w:val="3"/>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F5844DE"/>
    <w:multiLevelType w:val="hybridMultilevel"/>
    <w:tmpl w:val="75EE971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523779783">
    <w:abstractNumId w:val="5"/>
  </w:num>
  <w:num w:numId="2" w16cid:durableId="109014806">
    <w:abstractNumId w:val="3"/>
  </w:num>
  <w:num w:numId="3" w16cid:durableId="1541551863">
    <w:abstractNumId w:val="0"/>
  </w:num>
  <w:num w:numId="4" w16cid:durableId="1385711332">
    <w:abstractNumId w:val="2"/>
  </w:num>
  <w:num w:numId="5" w16cid:durableId="1742169964">
    <w:abstractNumId w:val="4"/>
  </w:num>
  <w:num w:numId="6" w16cid:durableId="1399745202">
    <w:abstractNumId w:val="1"/>
  </w:num>
  <w:num w:numId="7" w16cid:durableId="391125335">
    <w:abstractNumId w:val="7"/>
  </w:num>
  <w:num w:numId="8" w16cid:durableId="4742966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8F3"/>
    <w:rsid w:val="00021E5A"/>
    <w:rsid w:val="000501B6"/>
    <w:rsid w:val="0009720B"/>
    <w:rsid w:val="000B6327"/>
    <w:rsid w:val="00173EA6"/>
    <w:rsid w:val="0022054B"/>
    <w:rsid w:val="00226161"/>
    <w:rsid w:val="00244A36"/>
    <w:rsid w:val="00255D6B"/>
    <w:rsid w:val="00257A3B"/>
    <w:rsid w:val="002A7400"/>
    <w:rsid w:val="002B747D"/>
    <w:rsid w:val="00334EB6"/>
    <w:rsid w:val="00361336"/>
    <w:rsid w:val="00372833"/>
    <w:rsid w:val="00394647"/>
    <w:rsid w:val="0048081A"/>
    <w:rsid w:val="004812ED"/>
    <w:rsid w:val="005260C1"/>
    <w:rsid w:val="00530F59"/>
    <w:rsid w:val="0053277F"/>
    <w:rsid w:val="00551D90"/>
    <w:rsid w:val="005816F3"/>
    <w:rsid w:val="005A5D7E"/>
    <w:rsid w:val="005B08F3"/>
    <w:rsid w:val="005F6762"/>
    <w:rsid w:val="005F745E"/>
    <w:rsid w:val="00605321"/>
    <w:rsid w:val="007176BF"/>
    <w:rsid w:val="00737B44"/>
    <w:rsid w:val="0075636D"/>
    <w:rsid w:val="007D0F2B"/>
    <w:rsid w:val="007F4391"/>
    <w:rsid w:val="00806FA4"/>
    <w:rsid w:val="00831F03"/>
    <w:rsid w:val="00895ECD"/>
    <w:rsid w:val="008A3456"/>
    <w:rsid w:val="008D7EAF"/>
    <w:rsid w:val="00975EB9"/>
    <w:rsid w:val="0099720F"/>
    <w:rsid w:val="009C6667"/>
    <w:rsid w:val="00A33432"/>
    <w:rsid w:val="00A3343E"/>
    <w:rsid w:val="00A712B4"/>
    <w:rsid w:val="00B1120F"/>
    <w:rsid w:val="00B466A9"/>
    <w:rsid w:val="00B65D7E"/>
    <w:rsid w:val="00B96523"/>
    <w:rsid w:val="00BD4CC0"/>
    <w:rsid w:val="00C05477"/>
    <w:rsid w:val="00C123F5"/>
    <w:rsid w:val="00C72F3D"/>
    <w:rsid w:val="00C957EF"/>
    <w:rsid w:val="00CE2983"/>
    <w:rsid w:val="00D12F44"/>
    <w:rsid w:val="00D1676B"/>
    <w:rsid w:val="00D5740E"/>
    <w:rsid w:val="00DC3439"/>
    <w:rsid w:val="00ED5DAD"/>
    <w:rsid w:val="00F00A62"/>
    <w:rsid w:val="00F1273D"/>
    <w:rsid w:val="00F5759E"/>
    <w:rsid w:val="00F629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7E145"/>
  <w15:chartTrackingRefBased/>
  <w15:docId w15:val="{E9593C13-00F7-494A-B0B0-3E8779E6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8F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B08F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semiHidden/>
    <w:unhideWhenUsed/>
    <w:rsid w:val="005B08F3"/>
    <w:rPr>
      <w:sz w:val="20"/>
      <w:szCs w:val="20"/>
    </w:rPr>
  </w:style>
  <w:style w:type="character" w:customStyle="1" w:styleId="TextonotaalfinalCar">
    <w:name w:val="Texto nota al final Car"/>
    <w:basedOn w:val="Fuentedeprrafopredeter"/>
    <w:link w:val="Textonotaalfinal"/>
    <w:semiHidden/>
    <w:rsid w:val="005B08F3"/>
    <w:rPr>
      <w:rFonts w:ascii="Times New Roman" w:eastAsia="Times New Roman" w:hAnsi="Times New Roman" w:cs="Times New Roman"/>
      <w:sz w:val="20"/>
      <w:szCs w:val="20"/>
      <w:lang w:eastAsia="es-ES"/>
    </w:rPr>
  </w:style>
  <w:style w:type="character" w:styleId="Refdenotaalfinal">
    <w:name w:val="endnote reference"/>
    <w:basedOn w:val="Fuentedeprrafopredeter"/>
    <w:semiHidden/>
    <w:unhideWhenUsed/>
    <w:rsid w:val="005B08F3"/>
    <w:rPr>
      <w:vertAlign w:val="superscript"/>
    </w:rPr>
  </w:style>
  <w:style w:type="paragraph" w:styleId="Prrafodelista">
    <w:name w:val="List Paragraph"/>
    <w:basedOn w:val="Normal"/>
    <w:link w:val="PrrafodelistaCar"/>
    <w:uiPriority w:val="34"/>
    <w:qFormat/>
    <w:rsid w:val="00BD4CC0"/>
    <w:pPr>
      <w:ind w:left="720"/>
      <w:contextualSpacing/>
    </w:pPr>
  </w:style>
  <w:style w:type="paragraph" w:customStyle="1" w:styleId="Estilo1">
    <w:name w:val="Estilo1"/>
    <w:basedOn w:val="Prrafodelista"/>
    <w:link w:val="Estilo1Car"/>
    <w:qFormat/>
    <w:rsid w:val="005260C1"/>
    <w:pPr>
      <w:keepNext/>
      <w:numPr>
        <w:numId w:val="6"/>
      </w:numPr>
      <w:ind w:left="714" w:hanging="357"/>
    </w:pPr>
    <w:rPr>
      <w:b/>
      <w:u w:val="single"/>
    </w:rPr>
  </w:style>
  <w:style w:type="character" w:customStyle="1" w:styleId="PrrafodelistaCar">
    <w:name w:val="Párrafo de lista Car"/>
    <w:basedOn w:val="Fuentedeprrafopredeter"/>
    <w:link w:val="Prrafodelista"/>
    <w:uiPriority w:val="34"/>
    <w:rsid w:val="005260C1"/>
    <w:rPr>
      <w:rFonts w:ascii="Times New Roman" w:eastAsia="Times New Roman" w:hAnsi="Times New Roman" w:cs="Times New Roman"/>
      <w:sz w:val="24"/>
      <w:szCs w:val="24"/>
      <w:lang w:eastAsia="es-ES"/>
    </w:rPr>
  </w:style>
  <w:style w:type="character" w:customStyle="1" w:styleId="Estilo1Car">
    <w:name w:val="Estilo1 Car"/>
    <w:basedOn w:val="PrrafodelistaCar"/>
    <w:link w:val="Estilo1"/>
    <w:rsid w:val="005260C1"/>
    <w:rPr>
      <w:rFonts w:ascii="Times New Roman" w:eastAsia="Times New Roman" w:hAnsi="Times New Roman" w:cs="Times New Roman"/>
      <w:b/>
      <w:sz w:val="24"/>
      <w:szCs w:val="24"/>
      <w:u w:val="single"/>
      <w:lang w:eastAsia="es-ES"/>
    </w:rPr>
  </w:style>
  <w:style w:type="paragraph" w:customStyle="1" w:styleId="Default">
    <w:name w:val="Default"/>
    <w:rsid w:val="00895EC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575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759E"/>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8D7EAF"/>
    <w:pPr>
      <w:tabs>
        <w:tab w:val="center" w:pos="4252"/>
        <w:tab w:val="right" w:pos="8504"/>
      </w:tabs>
    </w:pPr>
  </w:style>
  <w:style w:type="character" w:customStyle="1" w:styleId="EncabezadoCar">
    <w:name w:val="Encabezado Car"/>
    <w:basedOn w:val="Fuentedeprrafopredeter"/>
    <w:link w:val="Encabezado"/>
    <w:uiPriority w:val="99"/>
    <w:rsid w:val="008D7EAF"/>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D7EAF"/>
    <w:pPr>
      <w:tabs>
        <w:tab w:val="center" w:pos="4252"/>
        <w:tab w:val="right" w:pos="8504"/>
      </w:tabs>
    </w:pPr>
  </w:style>
  <w:style w:type="character" w:customStyle="1" w:styleId="PiedepginaCar">
    <w:name w:val="Pie de página Car"/>
    <w:basedOn w:val="Fuentedeprrafopredeter"/>
    <w:link w:val="Piedepgina"/>
    <w:uiPriority w:val="99"/>
    <w:rsid w:val="008D7EAF"/>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265271">
      <w:bodyDiv w:val="1"/>
      <w:marLeft w:val="0"/>
      <w:marRight w:val="0"/>
      <w:marTop w:val="0"/>
      <w:marBottom w:val="0"/>
      <w:divBdr>
        <w:top w:val="none" w:sz="0" w:space="0" w:color="auto"/>
        <w:left w:val="none" w:sz="0" w:space="0" w:color="auto"/>
        <w:bottom w:val="none" w:sz="0" w:space="0" w:color="auto"/>
        <w:right w:val="none" w:sz="0" w:space="0" w:color="auto"/>
      </w:divBdr>
    </w:div>
    <w:div w:id="208772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7F1DD-339A-4B1C-A529-959B7029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1008</Words>
  <Characters>5544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X067793</dc:creator>
  <cp:keywords/>
  <dc:description/>
  <cp:lastModifiedBy>Aranaz, Carlota</cp:lastModifiedBy>
  <cp:revision>14</cp:revision>
  <cp:lastPrinted>2022-06-13T10:16:00Z</cp:lastPrinted>
  <dcterms:created xsi:type="dcterms:W3CDTF">2022-06-07T11:25:00Z</dcterms:created>
  <dcterms:modified xsi:type="dcterms:W3CDTF">2022-06-14T12:01:00Z</dcterms:modified>
</cp:coreProperties>
</file>