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0648F" w14:textId="77777777" w:rsidR="00F54372" w:rsidRDefault="00F54372" w:rsidP="00A929EB">
      <w:pPr>
        <w:jc w:val="both"/>
        <w:rPr>
          <w:rFonts w:ascii="Arial" w:hAnsi="Arial" w:cs="Arial"/>
          <w:sz w:val="20"/>
          <w:szCs w:val="20"/>
        </w:rPr>
      </w:pPr>
    </w:p>
    <w:p w14:paraId="7F9BC194" w14:textId="77777777" w:rsidR="00BB7E12" w:rsidRPr="00A929EB" w:rsidRDefault="00BB7E12" w:rsidP="0046493D">
      <w:pPr>
        <w:spacing w:line="360" w:lineRule="auto"/>
        <w:jc w:val="both"/>
        <w:rPr>
          <w:sz w:val="20"/>
          <w:szCs w:val="20"/>
          <w:rFonts w:ascii="Arial" w:hAnsi="Arial" w:cs="Arial"/>
        </w:rPr>
      </w:pPr>
      <w:r>
        <w:rPr>
          <w:sz w:val="20"/>
          <w:rFonts w:ascii="Arial" w:hAnsi="Arial"/>
        </w:rPr>
        <w:t xml:space="preserve">Navarra Suma talde parlamentarioari atxikita dagoen foru parlamentari Ángel Ansa Echegaray jaunak galdera egin du “Tracasa Intrumental SLri egindako mandatuen gaineko gomendioen jarraipena” izeneko txostenari buruz (10-22/PES-0136). Hona Nafarroako Gobernuko lehendakariak horretaz ematen dion informazioa:</w:t>
      </w:r>
    </w:p>
    <w:p w14:paraId="155E3BAF" w14:textId="77777777" w:rsidR="0046493D" w:rsidRDefault="0046493D" w:rsidP="0046493D">
      <w:pPr>
        <w:spacing w:line="360" w:lineRule="auto"/>
        <w:jc w:val="both"/>
        <w:rPr>
          <w:sz w:val="20"/>
          <w:szCs w:val="20"/>
          <w:rFonts w:ascii="Arial" w:hAnsi="Arial" w:cs="Arial"/>
        </w:rPr>
      </w:pPr>
      <w:r>
        <w:rPr>
          <w:sz w:val="20"/>
          <w:rFonts w:ascii="Arial" w:hAnsi="Arial"/>
        </w:rPr>
        <w:t xml:space="preserve">Galderak Ekonomia eta Ogasun Departamentuari helarazi ondoren, hau erantzun dute Kontu-hartze Zuzendaritza Nagusitik:</w:t>
      </w:r>
    </w:p>
    <w:p w14:paraId="5B247839" w14:textId="77777777" w:rsidR="0046493D" w:rsidRPr="0046493D" w:rsidRDefault="0046493D" w:rsidP="0046493D">
      <w:pPr>
        <w:spacing w:line="360" w:lineRule="auto"/>
        <w:jc w:val="both"/>
        <w:rPr>
          <w:sz w:val="20"/>
          <w:szCs w:val="20"/>
          <w:rFonts w:ascii="Arial" w:hAnsi="Arial" w:cs="Arial"/>
        </w:rPr>
      </w:pPr>
      <w:r>
        <w:rPr>
          <w:sz w:val="20"/>
          <w:rFonts w:ascii="Arial" w:hAnsi="Arial"/>
        </w:rPr>
        <w:t xml:space="preserve">Zer kasutan exijitzen da enkargu bat egitea?</w:t>
      </w:r>
      <w:r>
        <w:rPr>
          <w:sz w:val="20"/>
          <w:rFonts w:ascii="Arial" w:hAnsi="Arial"/>
        </w:rPr>
        <w:t xml:space="preserve"> </w:t>
      </w:r>
      <w:r>
        <w:rPr>
          <w:sz w:val="20"/>
          <w:rFonts w:ascii="Arial" w:hAnsi="Arial"/>
        </w:rPr>
        <w:t xml:space="preserve">Zer unitatek egiten du?</w:t>
      </w:r>
    </w:p>
    <w:p w14:paraId="2124FFC5" w14:textId="77777777" w:rsidR="0046493D" w:rsidRPr="0046493D" w:rsidRDefault="0046493D" w:rsidP="0046493D">
      <w:pPr>
        <w:spacing w:line="360" w:lineRule="auto"/>
        <w:jc w:val="both"/>
        <w:rPr>
          <w:sz w:val="20"/>
          <w:szCs w:val="20"/>
          <w:rFonts w:ascii="Arial" w:hAnsi="Arial" w:cs="Arial"/>
        </w:rPr>
      </w:pPr>
      <w:r>
        <w:rPr>
          <w:sz w:val="20"/>
          <w:rFonts w:ascii="Arial" w:hAnsi="Arial"/>
        </w:rPr>
        <w:t xml:space="preserve">Ondorio hauetarako, “enkarguak” dira Foru Komunitateko Administrazioko organoek sektore publikoko “ente instrumentalei” egindako lan eskaerak, Kontratuei buruzko Foru Legearen 8. artikuluak dakarren definizioaren arabera.</w:t>
      </w:r>
      <w:r>
        <w:rPr>
          <w:sz w:val="20"/>
          <w:rFonts w:ascii="Arial" w:hAnsi="Arial"/>
        </w:rPr>
        <w:t xml:space="preserve"> </w:t>
      </w:r>
      <w:r>
        <w:rPr>
          <w:sz w:val="20"/>
          <w:rFonts w:ascii="Arial" w:hAnsi="Arial"/>
        </w:rPr>
        <w:t xml:space="preserve">“Enkargu” horiek otsailaren 19ko 23/2014 Foru Dekretuan daude araututa, eta Foru Komunitateko Administrazioko organo batek edo erakunde autonomo batek “ente instrumental” bati egiten dion edozein lan eskaera foru dekretu horretan ezartzen den moduan egin behar da.</w:t>
      </w:r>
    </w:p>
    <w:p w14:paraId="2374F2F9" w14:textId="77777777" w:rsidR="0046493D" w:rsidRPr="0046493D" w:rsidRDefault="0046493D" w:rsidP="0046493D">
      <w:pPr>
        <w:spacing w:line="360" w:lineRule="auto"/>
        <w:jc w:val="both"/>
        <w:rPr>
          <w:sz w:val="20"/>
          <w:szCs w:val="20"/>
          <w:rFonts w:ascii="Arial" w:hAnsi="Arial" w:cs="Arial"/>
        </w:rPr>
      </w:pPr>
      <w:r>
        <w:rPr>
          <w:sz w:val="20"/>
          <w:rFonts w:ascii="Arial" w:hAnsi="Arial"/>
        </w:rPr>
        <w:t xml:space="preserve">Zer kasutan exijitzen da faktura eta kreditu-erreserba?</w:t>
      </w:r>
      <w:r>
        <w:rPr>
          <w:sz w:val="20"/>
          <w:rFonts w:ascii="Arial" w:hAnsi="Arial"/>
        </w:rPr>
        <w:t xml:space="preserve"> </w:t>
      </w:r>
      <w:r>
        <w:rPr>
          <w:sz w:val="20"/>
          <w:rFonts w:ascii="Arial" w:hAnsi="Arial"/>
        </w:rPr>
        <w:t xml:space="preserve">Zer unitatek egiten du?</w:t>
      </w:r>
    </w:p>
    <w:p w14:paraId="5899FC18" w14:textId="77777777" w:rsidR="0046493D" w:rsidRPr="0046493D" w:rsidRDefault="0046493D" w:rsidP="0046493D">
      <w:pPr>
        <w:spacing w:line="360" w:lineRule="auto"/>
        <w:jc w:val="both"/>
        <w:rPr>
          <w:sz w:val="20"/>
          <w:szCs w:val="20"/>
          <w:rFonts w:ascii="Arial" w:hAnsi="Arial" w:cs="Arial"/>
        </w:rPr>
      </w:pPr>
      <w:r>
        <w:rPr>
          <w:sz w:val="20"/>
          <w:rFonts w:ascii="Arial" w:hAnsi="Arial"/>
        </w:rPr>
        <w:t xml:space="preserve">Aipatu 23/2014 Foru Dekretuaren 5. artikuluak ezartzen duenez, departamentu edo erakunde autonomo batek enkargu bat egin behar duenean, espediente bat instruituko du, kontratu administratiboetarako ezarrita dauden antzeko tramite tekniko eta juridikoak eta aurrekontuko, kontroleko eta gastu onespenerako tramiteak sartuta.</w:t>
      </w:r>
      <w:r>
        <w:rPr>
          <w:sz w:val="20"/>
          <w:rFonts w:ascii="Arial" w:hAnsi="Arial"/>
        </w:rPr>
        <w:t xml:space="preserve"> </w:t>
      </w:r>
      <w:r>
        <w:rPr>
          <w:sz w:val="20"/>
          <w:rFonts w:ascii="Arial" w:hAnsi="Arial"/>
        </w:rPr>
        <w:t xml:space="preserve">Horrenbestez, Kontratuei buruzko Foru Legearen 81. artikuluan ezarritakoaren arabera, faktura eta kreditu-erreserba eskatuko dira 15.000 eurotik beherako balio zenbatetsia duten enkarguetan, hornidurak edo zerbitzuak direnean, eta 40.000tik beherakoetan, obrak direnean.</w:t>
      </w:r>
    </w:p>
    <w:p w14:paraId="2669030E" w14:textId="77777777" w:rsidR="0046493D" w:rsidRPr="0046493D" w:rsidRDefault="0046493D" w:rsidP="0046493D">
      <w:pPr>
        <w:spacing w:line="360" w:lineRule="auto"/>
        <w:jc w:val="both"/>
        <w:rPr>
          <w:sz w:val="20"/>
          <w:szCs w:val="20"/>
          <w:rFonts w:ascii="Arial" w:hAnsi="Arial" w:cs="Arial"/>
        </w:rPr>
      </w:pPr>
      <w:r>
        <w:rPr>
          <w:sz w:val="20"/>
          <w:rFonts w:ascii="Arial" w:hAnsi="Arial"/>
        </w:rPr>
        <w:t xml:space="preserve">Zer eginen du Nafarroako Gobernuak Kontu-hartze Zerbitzuak irizpideak bateratze aldera?</w:t>
      </w:r>
      <w:r>
        <w:rPr>
          <w:sz w:val="20"/>
          <w:rFonts w:ascii="Arial" w:hAnsi="Arial"/>
        </w:rPr>
        <w:t xml:space="preserve"> </w:t>
      </w:r>
      <w:r>
        <w:rPr>
          <w:sz w:val="20"/>
          <w:rFonts w:ascii="Arial" w:hAnsi="Arial"/>
        </w:rPr>
        <w:t xml:space="preserve">Noiz eginen du?</w:t>
      </w:r>
    </w:p>
    <w:p w14:paraId="25A6FDDD" w14:textId="77777777" w:rsidR="0046493D" w:rsidRPr="0046493D" w:rsidRDefault="0046493D" w:rsidP="0046493D">
      <w:pPr>
        <w:spacing w:line="360" w:lineRule="auto"/>
        <w:jc w:val="both"/>
        <w:rPr>
          <w:sz w:val="20"/>
          <w:szCs w:val="20"/>
          <w:rFonts w:ascii="Arial" w:hAnsi="Arial" w:cs="Arial"/>
        </w:rPr>
      </w:pPr>
      <w:r>
        <w:rPr>
          <w:sz w:val="20"/>
          <w:rFonts w:ascii="Arial" w:hAnsi="Arial"/>
        </w:rPr>
        <w:t xml:space="preserve">Kontuen Ganberak egindako gomendioa da irizpideak bateratu daitezela faktura eta kreditu-erreserba soilik exijitzen diren lan horiek eskatzeko.</w:t>
      </w:r>
      <w:r>
        <w:rPr>
          <w:sz w:val="20"/>
          <w:rFonts w:ascii="Arial" w:hAnsi="Arial"/>
        </w:rPr>
        <w:t xml:space="preserve"> </w:t>
      </w:r>
      <w:r>
        <w:rPr>
          <w:sz w:val="20"/>
          <w:rFonts w:ascii="Arial" w:hAnsi="Arial"/>
        </w:rPr>
        <w:t xml:space="preserve">Baliabide publikoak eraginkortasunez eta efizientziaz kudeatzeko ez dago zertan ezarri betekizun gehiago, egungo araudian jasotakoez gain; areago Kontu-hartze Zerbitzuaren irizpideek, lehiaren inguruko arrazoi bistakoengatik, espedienteak fiskalizatzeko jarduketei bakarrik eragin diezaieketenean; eta munta txikiko enkargu hauek aurretiazko fiskalizaziotik salbuetsita daude.</w:t>
      </w:r>
      <w:r>
        <w:rPr>
          <w:sz w:val="20"/>
          <w:rFonts w:ascii="Arial" w:hAnsi="Arial"/>
        </w:rPr>
        <w:t xml:space="preserve"> </w:t>
      </w:r>
      <w:r>
        <w:rPr>
          <w:sz w:val="20"/>
          <w:rFonts w:ascii="Arial" w:hAnsi="Arial"/>
        </w:rPr>
        <w:t xml:space="preserve">Egin liteke gomendio bat, bete dadin jarraitu beharrekoa, baina hura organo jakin bati zuzendu behar litzaioke, eta barne-kontroleko eragiketa jakin baten testuinguruan egin behar litzateke, maiatzaren 17ko 31/2010 Foru Dekretuaren bidez onetsitako Barne Kontroleko Erregelamenduak adierazten duen moduan.</w:t>
      </w:r>
      <w:r>
        <w:rPr>
          <w:sz w:val="20"/>
          <w:rFonts w:ascii="Arial" w:hAnsi="Arial"/>
        </w:rPr>
        <w:t xml:space="preserve"> </w:t>
      </w:r>
      <w:r>
        <w:rPr>
          <w:sz w:val="20"/>
          <w:rFonts w:ascii="Arial" w:hAnsi="Arial"/>
        </w:rPr>
        <w:t xml:space="preserve">Munta txikiko enkargu hauen tratamendu administratiboaren auziak ez du une hauetan premiazko ezaugarririk gai horri berehala ekitea justifikatzen duenik; eta, kontuan izanik enkarguei buruzko araudi berri bat prestatzen ari dela 23/2014 Foru Dekretuaren ordez, egokia da gai hau jorratzea Administrazioaren eta bere ente instrumentalen arteko harremanen antolamendu osoaren testuinguruan.</w:t>
      </w:r>
    </w:p>
    <w:p w14:paraId="1265CF98" w14:textId="298BADAA" w:rsidR="00BB7E12" w:rsidRPr="00A929EB" w:rsidRDefault="00BB7E12" w:rsidP="0046493D">
      <w:pPr>
        <w:spacing w:line="360" w:lineRule="auto"/>
        <w:jc w:val="both"/>
        <w:rPr>
          <w:sz w:val="20"/>
          <w:szCs w:val="20"/>
          <w:rFonts w:ascii="Arial" w:hAnsi="Arial" w:cs="Arial"/>
        </w:rPr>
      </w:pPr>
      <w:r>
        <w:rPr>
          <w:sz w:val="20"/>
          <w:rFonts w:ascii="Arial" w:hAnsi="Arial"/>
        </w:rPr>
        <w:t xml:space="preserve">Hori guztia jakinarazten dut, Nafarroako Parlamentuko Erregelamenduaren 194. artikuluan ezarritakoa betez.</w:t>
      </w:r>
      <w:r>
        <w:rPr>
          <w:sz w:val="20"/>
          <w:rFonts w:ascii="Arial" w:hAnsi="Arial"/>
        </w:rPr>
        <w:t xml:space="preserve"> </w:t>
      </w:r>
    </w:p>
    <w:p w14:paraId="1A21E609" w14:textId="18747BE3" w:rsidR="00F54372" w:rsidRDefault="00A929EB" w:rsidP="0046493D">
      <w:pPr>
        <w:spacing w:line="360" w:lineRule="auto"/>
        <w:rPr>
          <w:sz w:val="20"/>
          <w:szCs w:val="20"/>
          <w:rFonts w:ascii="Arial" w:hAnsi="Arial" w:cs="Arial"/>
        </w:rPr>
      </w:pPr>
      <w:r>
        <w:rPr>
          <w:sz w:val="20"/>
          <w:rFonts w:ascii="Arial" w:hAnsi="Arial"/>
        </w:rPr>
        <w:t xml:space="preserve">Iruñean, 2022ko ekainaren 6an</w:t>
      </w:r>
    </w:p>
    <w:p w14:paraId="65D4A3DB" w14:textId="47C176AD" w:rsidR="00A929EB" w:rsidRPr="00A929EB" w:rsidRDefault="00A929EB" w:rsidP="00F54372">
      <w:pPr>
        <w:spacing w:line="360" w:lineRule="auto"/>
        <w:rPr>
          <w:sz w:val="20"/>
          <w:szCs w:val="20"/>
          <w:rFonts w:ascii="Arial" w:hAnsi="Arial" w:cs="Arial"/>
        </w:rPr>
      </w:pPr>
      <w:r>
        <w:rPr>
          <w:sz w:val="20"/>
          <w:rFonts w:ascii="Arial" w:hAnsi="Arial"/>
        </w:rPr>
        <w:t xml:space="preserve">Nafarroako lehendakaria:</w:t>
      </w:r>
      <w:r>
        <w:rPr>
          <w:sz w:val="20"/>
          <w:rFonts w:ascii="Arial" w:hAnsi="Arial"/>
        </w:rPr>
        <w:t xml:space="preserve"> </w:t>
      </w:r>
      <w:r>
        <w:rPr>
          <w:sz w:val="20"/>
          <w:rFonts w:ascii="Arial" w:hAnsi="Arial"/>
        </w:rPr>
        <w:t xml:space="preserve">María Chivite Navascués</w:t>
      </w:r>
    </w:p>
    <w:sectPr w:rsidR="00A929EB" w:rsidRPr="00A929EB">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6FE5A" w14:textId="77777777" w:rsidR="00406E98" w:rsidRDefault="00406E98" w:rsidP="003774FF">
      <w:pPr>
        <w:spacing w:after="0" w:line="240" w:lineRule="auto"/>
      </w:pPr>
      <w:r>
        <w:separator/>
      </w:r>
    </w:p>
  </w:endnote>
  <w:endnote w:type="continuationSeparator" w:id="0">
    <w:p w14:paraId="23DE7128" w14:textId="77777777" w:rsidR="00406E98" w:rsidRDefault="00406E98" w:rsidP="003774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9EF834" w14:textId="77777777" w:rsidR="00406E98" w:rsidRDefault="00406E98" w:rsidP="003774FF">
      <w:pPr>
        <w:spacing w:after="0" w:line="240" w:lineRule="auto"/>
      </w:pPr>
      <w:r>
        <w:separator/>
      </w:r>
    </w:p>
  </w:footnote>
  <w:footnote w:type="continuationSeparator" w:id="0">
    <w:p w14:paraId="12DDFB25" w14:textId="77777777" w:rsidR="00406E98" w:rsidRDefault="00406E98" w:rsidP="003774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32589" w14:textId="6E9224CD" w:rsidR="003774FF" w:rsidRDefault="003774FF" w:rsidP="003774FF">
    <w:pPr>
      <w:pStyle w:val="Encabezado"/>
      <w:jc w:val="center"/>
    </w:pPr>
  </w:p>
  <w:p w14:paraId="7EE3CD49" w14:textId="77777777" w:rsidR="003774FF" w:rsidRDefault="003774FF" w:rsidP="003774FF">
    <w:pPr>
      <w:pStyle w:val="Encabezado"/>
      <w:jc w:val="center"/>
    </w:pPr>
  </w:p>
  <w:p w14:paraId="04476588" w14:textId="77777777" w:rsidR="003774FF" w:rsidRDefault="003774FF" w:rsidP="003774FF">
    <w:pPr>
      <w:pStyle w:val="Encabezado"/>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74FF"/>
    <w:rsid w:val="0009332B"/>
    <w:rsid w:val="000C330E"/>
    <w:rsid w:val="00180698"/>
    <w:rsid w:val="00281B1D"/>
    <w:rsid w:val="003774FF"/>
    <w:rsid w:val="00406E98"/>
    <w:rsid w:val="00446C93"/>
    <w:rsid w:val="0046493D"/>
    <w:rsid w:val="005128D8"/>
    <w:rsid w:val="00551631"/>
    <w:rsid w:val="005729C8"/>
    <w:rsid w:val="006C7519"/>
    <w:rsid w:val="0073699C"/>
    <w:rsid w:val="00774639"/>
    <w:rsid w:val="00875CE2"/>
    <w:rsid w:val="00A929EB"/>
    <w:rsid w:val="00BB7E12"/>
    <w:rsid w:val="00C663C6"/>
    <w:rsid w:val="00CC2DD1"/>
    <w:rsid w:val="00E057F2"/>
    <w:rsid w:val="00F54372"/>
    <w:rsid w:val="00FB500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BC88D"/>
  <w15:docId w15:val="{8BF40818-E936-45DA-9AB0-6E0ED4611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9E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774F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774FF"/>
  </w:style>
  <w:style w:type="paragraph" w:styleId="Piedepgina">
    <w:name w:val="footer"/>
    <w:basedOn w:val="Normal"/>
    <w:link w:val="PiedepginaCar"/>
    <w:uiPriority w:val="99"/>
    <w:unhideWhenUsed/>
    <w:rsid w:val="003774F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774FF"/>
  </w:style>
  <w:style w:type="paragraph" w:styleId="Textodeglobo">
    <w:name w:val="Balloon Text"/>
    <w:basedOn w:val="Normal"/>
    <w:link w:val="TextodegloboCar"/>
    <w:uiPriority w:val="99"/>
    <w:semiHidden/>
    <w:unhideWhenUsed/>
    <w:rsid w:val="003774F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774FF"/>
    <w:rPr>
      <w:rFonts w:ascii="Tahoma" w:hAnsi="Tahoma" w:cs="Tahoma"/>
      <w:sz w:val="16"/>
      <w:szCs w:val="16"/>
    </w:rPr>
  </w:style>
  <w:style w:type="paragraph" w:customStyle="1" w:styleId="Default">
    <w:name w:val="Default"/>
    <w:rsid w:val="00A929EB"/>
    <w:pPr>
      <w:autoSpaceDE w:val="0"/>
      <w:autoSpaceDN w:val="0"/>
      <w:adjustRightInd w:val="0"/>
      <w:spacing w:after="0" w:line="240" w:lineRule="auto"/>
    </w:pPr>
    <w:rPr>
      <w:rFonts w:ascii="Calibri Light" w:hAnsi="Calibri Light" w:cs="Calibri Light"/>
      <w:color w:val="000000"/>
      <w:sz w:val="24"/>
      <w:szCs w:val="24"/>
    </w:rPr>
  </w:style>
  <w:style w:type="character" w:styleId="Hipervnculo">
    <w:name w:val="Hyperlink"/>
    <w:basedOn w:val="Fuentedeprrafopredeter"/>
    <w:uiPriority w:val="99"/>
    <w:unhideWhenUsed/>
    <w:rsid w:val="0055163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2061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2</Pages>
  <Words>552</Words>
  <Characters>3040</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x057426</dc:creator>
  <cp:lastModifiedBy>Aranaz, Carlota</cp:lastModifiedBy>
  <cp:revision>15</cp:revision>
  <cp:lastPrinted>2021-02-25T08:18:00Z</cp:lastPrinted>
  <dcterms:created xsi:type="dcterms:W3CDTF">2020-06-02T10:03:00Z</dcterms:created>
  <dcterms:modified xsi:type="dcterms:W3CDTF">2022-06-14T11:23:00Z</dcterms:modified>
  <cp:contentStatus/>
</cp:coreProperties>
</file>