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moción por la que se insta al Gobierno de Navarra a adelantar la implementación del Plan Director del Ciclo Integral del Agua de uso urbano en la parte de construcción de la ETAP de Lerín,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(NA+),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Situación del cumplimiento de la Moción (10-21 MOC-00142):</w:t>
      </w:r>
    </w:p>
    <w:p>
      <w:pPr>
        <w:pStyle w:val="0"/>
        <w:suppressAutoHyphens w:val="false"/>
        <w:rPr>
          <w:rStyle w:val="1"/>
        </w:rPr>
      </w:pPr>
      <w:r>
        <w:rPr>
          <w:rStyle w:val="1"/>
        </w:rPr>
        <w:t xml:space="preserve">“Instar al Gobierno de Navarra a adelantar la implementación del Plan Director del Ciclo Integral del Agua de uso urbano en la parte de construcción de la ETAP de Lerín aprovechando el reinicio de las obras del ramal del Ega del canal de Navarra y utilizar fondos REACT para su ejecución”.</w:t>
      </w:r>
    </w:p>
    <w:p>
      <w:pPr>
        <w:pStyle w:val="0"/>
        <w:suppressAutoHyphens w:val="false"/>
        <w:rPr>
          <w:rStyle w:val="1"/>
        </w:rPr>
      </w:pPr>
      <w:r>
        <w:rPr>
          <w:rStyle w:val="1"/>
        </w:rPr>
        <w:t xml:space="preserve">Pamplona, 12 de septiembre de 2022</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