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2022,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w:t>
      </w:r>
      <w:r>
        <w:rPr>
          <w:rStyle w:val="1"/>
          <w:spacing w:val="-1.919"/>
        </w:rPr>
        <w:t xml:space="preserve"> Admitir a trámite la pregunta sobre la presencia del Consejero de Cohesión Territorial en la reunión con la presidenta de la Confederación Hidrográfica del Ebro para hablar sobre el proyecto de la segunda fase del Canal de Navarra,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noviembre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(NA+), al amparo de lo dispuesto en el Reglamento de la Cámara, realiza la siguiente pregunta escrita al Consejero de Cohesión Territorial:</w:t>
      </w:r>
    </w:p>
    <w:p>
      <w:pPr>
        <w:pStyle w:val="0"/>
        <w:suppressAutoHyphens w:val="false"/>
        <w:rPr>
          <w:rStyle w:val="1"/>
        </w:rPr>
      </w:pPr>
      <w:r>
        <w:rPr>
          <w:rStyle w:val="1"/>
        </w:rPr>
        <w:t xml:space="preserve">¿Por qué motivo ha estado el consejero de Cohesión Territorial, Bernardo Ciriza, y no la consejera competente y responsable del Canal de Navarra, Itziar Gómez, en la reunión con la presidenta de la CHE, María Dolores Pascual, para hablar sobre el proyecto de la 2.ª fase del Canal de Navarra, que ha llegado esta semana a la Confederación Hidrográfica del Ebro (CHE) para su revisión y trámite de exposición pública, tras haber finalizado una supervisión previa por parte del Ministerio para la Transición Ecológica y el Reto Demográfico?</w:t>
      </w:r>
    </w:p>
    <w:p>
      <w:pPr>
        <w:pStyle w:val="0"/>
        <w:suppressAutoHyphens w:val="false"/>
        <w:rPr>
          <w:rStyle w:val="1"/>
        </w:rPr>
      </w:pPr>
      <w:r>
        <w:rPr>
          <w:rStyle w:val="1"/>
        </w:rPr>
        <w:t xml:space="preserve">Pamplona, a 21 de noviembre de 2022.</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