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revisado la cobertura e intensidad a 3-6 años y aumentado la intensidad del servici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revisado la cobertura e intensidad a 3-6 años y aumentado la intensidad del servicio en función de las necesidades de cada usuario/a y de las familias, en particular a grupos específicos como los y las menores en situación de riesgo psicosocial o con prematuridad o bajo peso al nacer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