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2025 Desgaitasun Plana one</w:t>
        <w:softHyphen/>
        <w:t xml:space="preserve">tsi zenetik, lan-jardunaldirik egin den Bigarren Hezkun</w:t>
        <w:softHyphen/>
        <w:t xml:space="preserve">tzako hezkun</w:t>
        <w:softHyphen/>
        <w:t xml:space="preserve">tza-inklusiorako hedapen eta jardunbide egokien gainean, desgaitasunaren arloko entitateekin elkarlanean.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2025 Desgaitasun Plana one</w:t>
        <w:softHyphen/>
        <w:t xml:space="preserve">tsi zenetik, egin al da lan-jardunaldirik Bigarren Hezkun</w:t>
        <w:softHyphen/>
        <w:t xml:space="preserve">tzako hezkun</w:t>
        <w:softHyphen/>
        <w:t xml:space="preserve">tza-inklusiorako hedapen eta jardunbide egokien gainean, desgaitasunaren arloko entitateekin elkarlanean?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