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diseinatu eta ezarri den ikastetxe bakoi</w:t>
        <w:softHyphen/>
        <w:t xml:space="preserve">tzean irisgarritasunari eta oztopo arkitektonikoak, komunikaziokoak eta kognitiboak ken</w:t>
        <w:softHyphen/>
        <w:t xml:space="preserve">tzeari buruzko berariazko planik.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diseinatu eta ezarri al daikastetxe bakoi</w:t>
        <w:softHyphen/>
        <w:t xml:space="preserve">tzean irisgarritasunari eta oztopo arkitektonikoak, komunikaziokoak eta kognitiboak ken</w:t>
        <w:softHyphen/>
        <w:t xml:space="preserve">tzeari buruzko berariazko planik?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ikastetxetan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