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2023ko otsailaren 2an egindako Osoko Bilkuran, Nafarroako Toki Administrazioari buruzko uztailaren 2ko 6/1990 Foru Legea aldatzeko Foru Legea onetsi zuen.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spacing w:val="-0.961"/>
        </w:rPr>
        <w:t xml:space="preserve">Aipatu foru legea, Nafarroako Foru Eraentza Berrezarri eta Hobetzeari buruzko Lege Organikoaren 20.2 eta Legebiltzarreko Erregelamenduaren 153. artikuluekin bat, gehiengo osoz onetsi da, proiektu osoari buruzko azken bozketan.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146. artikuluan ezarritakoa betez, argitara dadin agintzen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Foru Legea, Nafarroako Toki Administrazioari buruzko uztailaren 2ko 6/1990 Foru Legea aldatzekoa.</w:t>
      </w:r>
    </w:p>
    <w:p>
      <w:pPr>
        <w:pStyle w:val="0"/>
        <w:jc w:val="center"/>
        <w:ind w:firstLine="0"/>
        <w:suppressAutoHyphens w:val="false"/>
        <w:rPr>
          <w:rStyle w:val="1"/>
        </w:rPr>
      </w:pPr>
      <w:r>
        <w:rPr>
          <w:rStyle w:val="1"/>
        </w:rPr>
        <w:t xml:space="preserve">HITZAURREA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Toki Administrazioari buruzko Foru Legea aldatu egin behar da, araua egungo errealitatera egokitzeko, gaur egun bi motatako tokiko sozietate publikoak baitaude: batetik, kapital osoa jatorriko toki-entitatearen jabetzakoa dutenak, eta, bestetik, jatorriko toki-entitateak sozietatearen kapitalean parte-hartzearen gehiengoa izanik ere, sektore publikoko beste entitate batzuen jabetzakoak ere badirenak modu minoritarioan, hala nola Nafarroako Gobernuarenak, CEPEN-Nafarroako Enpresa Korporazio Publikoarenak, beste toki-entitate batzuenak, etab.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Partaidetza sektore publikoko zenbait entitateren artean banatuta duten sozietate horiek, gaur egun, indarreko legearen idazketari jarraikiz, zeharkako kudeaketako bitartekotzat jotzen dira (192.3 e artikulua), eta gehienez ere 50 urteko indarraldia izaten ahal duen emakida batekin lotuta daude (194. artikulua). Hain zuzen ere, epe hori betetzeko zorian dago Nafarroako udal-sozietate batzuetan, eta Mercairuña da horietako lehenengoa; horren ondorioz, dagoeneko murriztu egin dira sozietatearen proiekzioa eta estrategia, zalantzan jarriz, haren xedea den zerbitzu publikoaren gauzatzeaz gainera, sozietatearen finantza-biziraupena 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Nafarroako Toki Administrazioari buruzko uztailaren 2ko 6/1990 Foru Legea aldatzen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Artikulu bakarra. </w:t>
      </w:r>
      <w:r>
        <w:rPr>
          <w:rStyle w:val="1"/>
        </w:rPr>
        <w:t xml:space="preserve">Nafarroako Toki Administrazioari buruzko uztailaren 2ko 6/1990 Foru Legearen 192. artikuluaren 2. apartatuaren d) letra aldatzen da, eta testu hau izanen du aurrerantzean: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“d) Tokiko merkataritza-sozietatea, kapital soziala titulartasun publikokoa duena, eta nagusiki toki-entitatearena berarena edo haren erakunde publiko batena”.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3" w:type="paragraph">
    <w:name w:val="Título"/>
    <w:basedOn w:val="0"/>
    <w:qFormat w:val="true"/>
    <w:pPr>
      <w:jc w:val="both"/>
      <w:ind w:hanging="453.543" w:left="453.543"/>
      <w:spacing w:after="283.465" w:before="0" w:line="240" w:lineRule="auto"/>
      <w:keepNext w:val="false"/>
      <w:keepLines w:val="true"/>
      <w:textFlow w:val="lrTb"/>
      <w:textAlignment w:val="baseline"/>
      <w:suppressAutoHyphens w:val="false"/>
      <w:contextualSpacing w:val="false"/>
    </w:pPr>
    <w:rPr>
      <w:b/>
      <w:sz w:val="26"/>
      <w:w w:val="110.001"/>
      <w:rFonts w:ascii="Times New Roman" w:cs="Times New Roman" w:eastAsia="Times New Roman" w:hAnsi="Times New Roman"/>
    </w:rPr>
  </w:style>
  <w:style w:customStyle="1" w:styleId="2" w:type="paragraph">
    <w:name w:val="Titulo texto"/>
    <w:basedOn w:val="3"/>
    <w:next w:val="2"/>
    <w:qFormat w:val="true"/>
    <w:pPr>
      <w:jc w:val="center"/>
      <w:ind w:firstLine="0"/>
      <w:spacing w:after="170.079" w:before="283.465" w:line="240" w:lineRule="auto"/>
      <w:keepNext w:val="false"/>
      <w:keepLines w:val="true"/>
      <w:textFlow w:val="lrTb"/>
      <w:textAlignment w:val="baseline"/>
      <w:suppressAutoHyphens w:val="false"/>
      <w:contextualSpacing w:val="false"/>
    </w:pPr>
    <w:rPr>
      <w:sz w:val="24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